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B0" w:rsidRDefault="00265DB0"/>
    <w:p w:rsidR="00265DB0" w:rsidRPr="00265DB0" w:rsidRDefault="00265DB0" w:rsidP="00265DB0">
      <w:pPr>
        <w:pStyle w:val="Header"/>
        <w:rPr>
          <w:rFonts w:ascii="Arial" w:hAnsi="Arial" w:cs="Arial"/>
          <w:b/>
          <w:sz w:val="24"/>
          <w:szCs w:val="24"/>
        </w:rPr>
      </w:pPr>
      <w:r w:rsidRPr="00265DB0">
        <w:rPr>
          <w:rFonts w:ascii="Arial" w:hAnsi="Arial" w:cs="Arial"/>
          <w:b/>
          <w:sz w:val="24"/>
          <w:szCs w:val="24"/>
        </w:rPr>
        <w:t>Appendix 'A'</w:t>
      </w:r>
    </w:p>
    <w:p w:rsidR="00265DB0" w:rsidRDefault="00265DB0"/>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010659" w:rsidTr="00763A4B">
        <w:tc>
          <w:tcPr>
            <w:tcW w:w="5353" w:type="dxa"/>
          </w:tcPr>
          <w:p w:rsidR="00010659" w:rsidRDefault="00317665" w:rsidP="00265DB0">
            <w:pPr>
              <w:rPr>
                <w:rFonts w:ascii="Verdana" w:hAnsi="Verdana"/>
                <w:b/>
                <w:bCs/>
                <w:iCs/>
                <w:sz w:val="28"/>
              </w:rPr>
            </w:pPr>
            <w:r>
              <w:rPr>
                <w:rFonts w:ascii="Verdana" w:hAnsi="Verdana"/>
                <w:b/>
                <w:bCs/>
                <w:iCs/>
                <w:sz w:val="28"/>
              </w:rPr>
              <w:t>Lancashire County Pension Fund</w:t>
            </w:r>
          </w:p>
        </w:tc>
        <w:tc>
          <w:tcPr>
            <w:tcW w:w="4428" w:type="dxa"/>
          </w:tcPr>
          <w:p w:rsidR="00010659" w:rsidRDefault="00010659" w:rsidP="00DE07D1">
            <w:pPr>
              <w:rPr>
                <w:rFonts w:ascii="Verdana" w:hAnsi="Verdana"/>
                <w:b/>
                <w:bCs/>
                <w:iCs/>
                <w:sz w:val="28"/>
              </w:rPr>
            </w:pPr>
          </w:p>
        </w:tc>
      </w:tr>
      <w:tr w:rsidR="00010659" w:rsidTr="00763A4B">
        <w:tc>
          <w:tcPr>
            <w:tcW w:w="5353" w:type="dxa"/>
          </w:tcPr>
          <w:p w:rsidR="00010659" w:rsidRDefault="00010659" w:rsidP="00DE07D1">
            <w:pPr>
              <w:rPr>
                <w:rFonts w:ascii="Verdana" w:hAnsi="Verdana"/>
                <w:b/>
                <w:bCs/>
                <w:iCs/>
                <w:sz w:val="28"/>
              </w:rPr>
            </w:pPr>
          </w:p>
        </w:tc>
        <w:tc>
          <w:tcPr>
            <w:tcW w:w="4428" w:type="dxa"/>
          </w:tcPr>
          <w:p w:rsidR="00010659" w:rsidRPr="00F42967" w:rsidRDefault="00010659" w:rsidP="00DE07D1">
            <w:pPr>
              <w:jc w:val="right"/>
              <w:rPr>
                <w:rFonts w:ascii="Verdana" w:hAnsi="Verdana"/>
                <w:b/>
                <w:bCs/>
                <w:iCs/>
                <w:sz w:val="24"/>
              </w:rPr>
            </w:pPr>
          </w:p>
        </w:tc>
      </w:tr>
      <w:tr w:rsidR="00010659" w:rsidTr="00763A4B">
        <w:tc>
          <w:tcPr>
            <w:tcW w:w="5353" w:type="dxa"/>
          </w:tcPr>
          <w:p w:rsidR="00010659" w:rsidRPr="00F2518C" w:rsidRDefault="00317665" w:rsidP="00DE07D1">
            <w:pPr>
              <w:rPr>
                <w:rFonts w:ascii="Verdana" w:hAnsi="Verdana"/>
                <w:b/>
                <w:bCs/>
                <w:iCs/>
                <w:sz w:val="24"/>
                <w:szCs w:val="24"/>
              </w:rPr>
            </w:pPr>
            <w:r w:rsidRPr="00F2518C">
              <w:rPr>
                <w:rFonts w:ascii="Verdana" w:hAnsi="Verdana"/>
                <w:b/>
                <w:bCs/>
                <w:iCs/>
                <w:sz w:val="24"/>
                <w:szCs w:val="24"/>
              </w:rPr>
              <w:t>Responsible Investment Report</w:t>
            </w:r>
          </w:p>
        </w:tc>
        <w:tc>
          <w:tcPr>
            <w:tcW w:w="4428" w:type="dxa"/>
          </w:tcPr>
          <w:p w:rsidR="00010659" w:rsidRPr="00F2518C" w:rsidRDefault="00010659" w:rsidP="00DE07D1">
            <w:pPr>
              <w:jc w:val="right"/>
              <w:rPr>
                <w:rFonts w:ascii="Verdana" w:hAnsi="Verdana"/>
                <w:b/>
                <w:bCs/>
                <w:iCs/>
                <w:sz w:val="24"/>
                <w:szCs w:val="24"/>
              </w:rPr>
            </w:pPr>
          </w:p>
        </w:tc>
      </w:tr>
    </w:tbl>
    <w:p w:rsidR="00010659" w:rsidRPr="007D1376" w:rsidRDefault="00010659" w:rsidP="00010659">
      <w:pPr>
        <w:rPr>
          <w:rFonts w:ascii="Verdana" w:hAnsi="Verdana"/>
          <w:bCs/>
          <w:iCs/>
        </w:rPr>
      </w:pPr>
      <w:r w:rsidRPr="007D1376">
        <w:rPr>
          <w:rFonts w:ascii="Verdana" w:hAnsi="Verdana"/>
          <w:bCs/>
          <w:iCs/>
        </w:rPr>
        <w:tab/>
      </w:r>
      <w:r w:rsidRPr="007D1376">
        <w:rPr>
          <w:rFonts w:ascii="Verdana" w:hAnsi="Verdana"/>
          <w:bCs/>
          <w:iCs/>
        </w:rPr>
        <w:tab/>
      </w:r>
      <w:r w:rsidRPr="007D1376">
        <w:rPr>
          <w:rFonts w:ascii="Verdana" w:hAnsi="Verdana"/>
          <w:bCs/>
          <w:iCs/>
        </w:rPr>
        <w:tab/>
        <w:t xml:space="preserve"> </w:t>
      </w:r>
      <w:r w:rsidRPr="007D1376">
        <w:rPr>
          <w:rFonts w:ascii="Verdana" w:hAnsi="Verdana"/>
          <w:bCs/>
          <w:iCs/>
        </w:rPr>
        <w:tab/>
      </w:r>
      <w:r w:rsidRPr="007D1376">
        <w:rPr>
          <w:rFonts w:ascii="Verdana" w:hAnsi="Verdana"/>
          <w:bCs/>
          <w:iCs/>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010659" w:rsidRPr="007A0579" w:rsidTr="00763A4B">
        <w:trPr>
          <w:trHeight w:val="461"/>
        </w:trPr>
        <w:tc>
          <w:tcPr>
            <w:tcW w:w="2523" w:type="dxa"/>
            <w:shd w:val="clear" w:color="auto" w:fill="F2F2F2" w:themeFill="background1" w:themeFillShade="F2"/>
          </w:tcPr>
          <w:p w:rsidR="00010659" w:rsidRPr="007A0579" w:rsidRDefault="00F2518C" w:rsidP="00DE07D1">
            <w:pPr>
              <w:rPr>
                <w:rFonts w:ascii="Verdana" w:hAnsi="Verdana"/>
                <w:b/>
                <w:bCs/>
                <w:iCs/>
                <w:sz w:val="20"/>
                <w:szCs w:val="20"/>
              </w:rPr>
            </w:pPr>
            <w:r w:rsidRPr="007A0579">
              <w:rPr>
                <w:rFonts w:ascii="Verdana" w:hAnsi="Verdana"/>
                <w:b/>
                <w:bCs/>
                <w:iCs/>
                <w:sz w:val="20"/>
                <w:szCs w:val="20"/>
              </w:rPr>
              <w:t>Title</w:t>
            </w:r>
            <w:r w:rsidR="008C6DA0">
              <w:rPr>
                <w:rFonts w:ascii="Verdana" w:hAnsi="Verdana"/>
                <w:b/>
                <w:bCs/>
                <w:iCs/>
                <w:sz w:val="20"/>
                <w:szCs w:val="20"/>
              </w:rPr>
              <w:t xml:space="preserve"> of P</w:t>
            </w:r>
            <w:r w:rsidR="00010659" w:rsidRPr="007A0579">
              <w:rPr>
                <w:rFonts w:ascii="Verdana" w:hAnsi="Verdana"/>
                <w:b/>
                <w:bCs/>
                <w:iCs/>
                <w:sz w:val="20"/>
                <w:szCs w:val="20"/>
              </w:rPr>
              <w:t>aper</w:t>
            </w:r>
          </w:p>
        </w:tc>
        <w:tc>
          <w:tcPr>
            <w:tcW w:w="7229" w:type="dxa"/>
          </w:tcPr>
          <w:p w:rsidR="00010659" w:rsidRPr="007A0579" w:rsidRDefault="00F2518C" w:rsidP="00F2518C">
            <w:pPr>
              <w:rPr>
                <w:rFonts w:ascii="Verdana" w:hAnsi="Verdana"/>
                <w:bCs/>
                <w:iCs/>
                <w:sz w:val="20"/>
                <w:szCs w:val="20"/>
              </w:rPr>
            </w:pPr>
            <w:r w:rsidRPr="007A0579">
              <w:rPr>
                <w:rFonts w:ascii="Verdana" w:hAnsi="Verdana"/>
                <w:bCs/>
                <w:iCs/>
                <w:sz w:val="20"/>
                <w:szCs w:val="20"/>
              </w:rPr>
              <w:t>Quarterly R</w:t>
            </w:r>
            <w:r w:rsidR="00317665" w:rsidRPr="007A0579">
              <w:rPr>
                <w:rFonts w:ascii="Verdana" w:hAnsi="Verdana"/>
                <w:bCs/>
                <w:iCs/>
                <w:sz w:val="20"/>
                <w:szCs w:val="20"/>
              </w:rPr>
              <w:t>eport on Responsible Investment</w:t>
            </w:r>
          </w:p>
        </w:tc>
      </w:tr>
      <w:tr w:rsidR="00ED73A5" w:rsidRPr="007A0579" w:rsidTr="00763A4B">
        <w:trPr>
          <w:trHeight w:val="632"/>
        </w:trPr>
        <w:tc>
          <w:tcPr>
            <w:tcW w:w="2523" w:type="dxa"/>
            <w:shd w:val="clear" w:color="auto" w:fill="F2F2F2" w:themeFill="background1" w:themeFillShade="F2"/>
          </w:tcPr>
          <w:p w:rsidR="00ED73A5" w:rsidRPr="007A0579" w:rsidRDefault="00ED73A5" w:rsidP="00DE07D1">
            <w:pPr>
              <w:rPr>
                <w:rFonts w:ascii="Verdana" w:hAnsi="Verdana"/>
                <w:b/>
                <w:bCs/>
                <w:iCs/>
                <w:sz w:val="20"/>
                <w:szCs w:val="20"/>
              </w:rPr>
            </w:pPr>
            <w:r w:rsidRPr="007A0579">
              <w:rPr>
                <w:rFonts w:ascii="Verdana" w:hAnsi="Verdana"/>
                <w:b/>
                <w:bCs/>
                <w:iCs/>
                <w:sz w:val="20"/>
                <w:szCs w:val="20"/>
              </w:rPr>
              <w:t>Lead Officer:</w:t>
            </w:r>
          </w:p>
        </w:tc>
        <w:tc>
          <w:tcPr>
            <w:tcW w:w="7229" w:type="dxa"/>
          </w:tcPr>
          <w:p w:rsidR="00ED73A5" w:rsidRPr="007A0579" w:rsidRDefault="00317665" w:rsidP="00010659">
            <w:pPr>
              <w:rPr>
                <w:rFonts w:ascii="Verdana" w:hAnsi="Verdana"/>
                <w:bCs/>
                <w:iCs/>
                <w:sz w:val="20"/>
                <w:szCs w:val="20"/>
              </w:rPr>
            </w:pPr>
            <w:r w:rsidRPr="007A0579">
              <w:rPr>
                <w:rFonts w:ascii="Verdana" w:hAnsi="Verdana"/>
                <w:bCs/>
                <w:iCs/>
                <w:sz w:val="20"/>
                <w:szCs w:val="20"/>
              </w:rPr>
              <w:t>Frances Deakin</w:t>
            </w:r>
            <w:r w:rsidR="00ED73A5" w:rsidRPr="007A0579">
              <w:rPr>
                <w:rFonts w:ascii="Verdana" w:hAnsi="Verdana"/>
                <w:bCs/>
                <w:iCs/>
                <w:sz w:val="20"/>
                <w:szCs w:val="20"/>
              </w:rPr>
              <w:t xml:space="preserve"> </w:t>
            </w:r>
          </w:p>
          <w:p w:rsidR="00F53C91" w:rsidRPr="007A0579" w:rsidRDefault="00317665" w:rsidP="00010659">
            <w:pPr>
              <w:rPr>
                <w:rFonts w:ascii="Verdana" w:hAnsi="Verdana"/>
                <w:bCs/>
                <w:iCs/>
                <w:sz w:val="20"/>
                <w:szCs w:val="20"/>
              </w:rPr>
            </w:pPr>
            <w:r w:rsidRPr="007A0579">
              <w:rPr>
                <w:rFonts w:ascii="Verdana" w:hAnsi="Verdana"/>
                <w:bCs/>
                <w:iCs/>
                <w:sz w:val="20"/>
                <w:szCs w:val="20"/>
              </w:rPr>
              <w:t>Responsible Investment Officer</w:t>
            </w:r>
          </w:p>
          <w:p w:rsidR="00F2518C" w:rsidRPr="007A0579" w:rsidRDefault="00617233" w:rsidP="00010659">
            <w:pPr>
              <w:rPr>
                <w:rFonts w:ascii="Verdana" w:hAnsi="Verdana"/>
                <w:bCs/>
                <w:iCs/>
                <w:sz w:val="20"/>
                <w:szCs w:val="20"/>
              </w:rPr>
            </w:pPr>
            <w:r w:rsidRPr="007A0579">
              <w:rPr>
                <w:rFonts w:ascii="Verdana" w:hAnsi="Verdana"/>
                <w:bCs/>
                <w:iCs/>
                <w:sz w:val="20"/>
                <w:szCs w:val="20"/>
              </w:rPr>
              <w:t>Local Pensions Partnership Investments Ltd</w:t>
            </w:r>
            <w:r w:rsidR="00F2518C" w:rsidRPr="007A0579">
              <w:rPr>
                <w:rFonts w:ascii="Verdana" w:hAnsi="Verdana"/>
                <w:bCs/>
                <w:iCs/>
                <w:sz w:val="20"/>
                <w:szCs w:val="20"/>
              </w:rPr>
              <w:t xml:space="preserve"> </w:t>
            </w:r>
          </w:p>
          <w:p w:rsidR="00ED73A5" w:rsidRDefault="00F91E15" w:rsidP="00010659">
            <w:pPr>
              <w:rPr>
                <w:rFonts w:ascii="Verdana" w:hAnsi="Verdana"/>
                <w:bCs/>
                <w:iCs/>
                <w:sz w:val="20"/>
                <w:szCs w:val="20"/>
              </w:rPr>
            </w:pPr>
            <w:hyperlink r:id="rId7" w:history="1">
              <w:r w:rsidR="007A0579" w:rsidRPr="00D560F3">
                <w:rPr>
                  <w:rStyle w:val="Hyperlink"/>
                  <w:rFonts w:ascii="Verdana" w:hAnsi="Verdana"/>
                  <w:bCs/>
                  <w:iCs/>
                  <w:sz w:val="20"/>
                  <w:szCs w:val="20"/>
                </w:rPr>
                <w:t>frances.deakin@localpensionspartnership.org.uk</w:t>
              </w:r>
            </w:hyperlink>
          </w:p>
          <w:p w:rsidR="007A0579" w:rsidRPr="007A0579" w:rsidRDefault="007A0579" w:rsidP="00010659">
            <w:pPr>
              <w:rPr>
                <w:rFonts w:ascii="Verdana" w:hAnsi="Verdana"/>
                <w:bCs/>
                <w:iCs/>
                <w:sz w:val="20"/>
                <w:szCs w:val="20"/>
              </w:rPr>
            </w:pPr>
          </w:p>
        </w:tc>
      </w:tr>
      <w:tr w:rsidR="00ED73A5" w:rsidRPr="007A0579" w:rsidTr="00763A4B">
        <w:trPr>
          <w:trHeight w:val="456"/>
        </w:trPr>
        <w:tc>
          <w:tcPr>
            <w:tcW w:w="2523" w:type="dxa"/>
            <w:shd w:val="clear" w:color="auto" w:fill="F2F2F2" w:themeFill="background1" w:themeFillShade="F2"/>
          </w:tcPr>
          <w:p w:rsidR="00ED73A5" w:rsidRPr="007A0579" w:rsidRDefault="00ED73A5" w:rsidP="008C6DA0">
            <w:pPr>
              <w:rPr>
                <w:rFonts w:ascii="Verdana" w:hAnsi="Verdana"/>
                <w:b/>
                <w:bCs/>
                <w:iCs/>
                <w:sz w:val="20"/>
                <w:szCs w:val="20"/>
              </w:rPr>
            </w:pPr>
            <w:r w:rsidRPr="007A0579">
              <w:rPr>
                <w:rFonts w:ascii="Verdana" w:hAnsi="Verdana"/>
                <w:b/>
                <w:bCs/>
                <w:iCs/>
                <w:sz w:val="20"/>
                <w:szCs w:val="20"/>
              </w:rPr>
              <w:t>A</w:t>
            </w:r>
            <w:r w:rsidR="008C6DA0">
              <w:rPr>
                <w:rFonts w:ascii="Verdana" w:hAnsi="Verdana"/>
                <w:b/>
                <w:bCs/>
                <w:iCs/>
                <w:sz w:val="20"/>
                <w:szCs w:val="20"/>
              </w:rPr>
              <w:t>ppendices</w:t>
            </w:r>
            <w:r w:rsidRPr="007A0579">
              <w:rPr>
                <w:rFonts w:ascii="Verdana" w:hAnsi="Verdana"/>
                <w:b/>
                <w:bCs/>
                <w:iCs/>
                <w:sz w:val="20"/>
                <w:szCs w:val="20"/>
              </w:rPr>
              <w:t xml:space="preserve"> </w:t>
            </w:r>
          </w:p>
        </w:tc>
        <w:tc>
          <w:tcPr>
            <w:tcW w:w="7229" w:type="dxa"/>
          </w:tcPr>
          <w:p w:rsidR="00ED73A5" w:rsidRDefault="008C6DA0" w:rsidP="00010659">
            <w:pPr>
              <w:rPr>
                <w:rFonts w:ascii="Verdana" w:hAnsi="Verdana"/>
                <w:b/>
                <w:bCs/>
                <w:iCs/>
                <w:sz w:val="20"/>
                <w:szCs w:val="20"/>
              </w:rPr>
            </w:pPr>
            <w:r>
              <w:rPr>
                <w:rFonts w:ascii="Verdana" w:hAnsi="Verdana"/>
                <w:b/>
                <w:bCs/>
                <w:iCs/>
                <w:sz w:val="20"/>
                <w:szCs w:val="20"/>
              </w:rPr>
              <w:t>Appendix</w:t>
            </w:r>
            <w:r w:rsidR="00660C65">
              <w:rPr>
                <w:rFonts w:ascii="Verdana" w:hAnsi="Verdana"/>
                <w:b/>
                <w:bCs/>
                <w:iCs/>
                <w:sz w:val="20"/>
                <w:szCs w:val="20"/>
              </w:rPr>
              <w:t xml:space="preserve"> 1</w:t>
            </w:r>
            <w:r w:rsidR="00C6350D">
              <w:rPr>
                <w:rFonts w:ascii="Verdana" w:hAnsi="Verdana"/>
                <w:b/>
                <w:bCs/>
                <w:iCs/>
                <w:sz w:val="20"/>
                <w:szCs w:val="20"/>
              </w:rPr>
              <w:t xml:space="preserve">: </w:t>
            </w:r>
            <w:r>
              <w:rPr>
                <w:rFonts w:ascii="Verdana" w:hAnsi="Verdana"/>
                <w:b/>
                <w:bCs/>
                <w:iCs/>
                <w:sz w:val="20"/>
                <w:szCs w:val="20"/>
              </w:rPr>
              <w:t>Q1 2016 Litigation Monitoring Report</w:t>
            </w:r>
            <w:r w:rsidR="00C6350D">
              <w:rPr>
                <w:rFonts w:ascii="Verdana" w:hAnsi="Verdana"/>
                <w:b/>
                <w:bCs/>
                <w:iCs/>
                <w:sz w:val="20"/>
                <w:szCs w:val="20"/>
              </w:rPr>
              <w:t xml:space="preserve"> CR&amp;B</w:t>
            </w:r>
          </w:p>
          <w:p w:rsidR="00C6350D" w:rsidRPr="00C6350D" w:rsidRDefault="00660C65" w:rsidP="00C6350D">
            <w:pPr>
              <w:rPr>
                <w:rFonts w:ascii="Verdana" w:hAnsi="Verdana"/>
                <w:b/>
                <w:bCs/>
                <w:iCs/>
                <w:sz w:val="20"/>
                <w:szCs w:val="20"/>
              </w:rPr>
            </w:pPr>
            <w:r>
              <w:rPr>
                <w:rFonts w:ascii="Verdana" w:hAnsi="Verdana"/>
                <w:b/>
                <w:bCs/>
                <w:iCs/>
                <w:sz w:val="20"/>
                <w:szCs w:val="20"/>
              </w:rPr>
              <w:t>Appendix 2</w:t>
            </w:r>
            <w:r w:rsidR="00C6350D">
              <w:rPr>
                <w:rFonts w:ascii="Verdana" w:hAnsi="Verdana"/>
                <w:b/>
                <w:bCs/>
                <w:iCs/>
                <w:sz w:val="20"/>
                <w:szCs w:val="20"/>
              </w:rPr>
              <w:t xml:space="preserve">: ESG Made Simple Guide - PLSA </w:t>
            </w:r>
          </w:p>
        </w:tc>
      </w:tr>
    </w:tbl>
    <w:p w:rsidR="00010659" w:rsidRPr="007A0579" w:rsidRDefault="00010659" w:rsidP="00010659">
      <w:pPr>
        <w:rPr>
          <w:rFonts w:ascii="Verdana" w:hAnsi="Verdana"/>
          <w:bCs/>
          <w:iCs/>
          <w:sz w:val="20"/>
          <w:szCs w:val="20"/>
          <w:u w:val="single"/>
        </w:rPr>
      </w:pPr>
    </w:p>
    <w:p w:rsidR="007A0579" w:rsidRDefault="007A0579" w:rsidP="00010659">
      <w:pPr>
        <w:rPr>
          <w:rFonts w:ascii="Verdana" w:hAnsi="Verdana"/>
          <w:b/>
          <w:iCs/>
          <w:sz w:val="20"/>
          <w:szCs w:val="20"/>
        </w:rPr>
      </w:pPr>
    </w:p>
    <w:p w:rsidR="00010659" w:rsidRPr="007A0579" w:rsidRDefault="00010659" w:rsidP="00010659">
      <w:pPr>
        <w:rPr>
          <w:rFonts w:ascii="Verdana" w:hAnsi="Verdana"/>
          <w:b/>
          <w:iCs/>
          <w:sz w:val="20"/>
          <w:szCs w:val="20"/>
        </w:rPr>
      </w:pPr>
      <w:r w:rsidRPr="007A0579">
        <w:rPr>
          <w:rFonts w:ascii="Verdana" w:hAnsi="Verdana"/>
          <w:b/>
          <w:iCs/>
          <w:sz w:val="20"/>
          <w:szCs w:val="20"/>
        </w:rPr>
        <w:t>Executive Summary</w:t>
      </w:r>
    </w:p>
    <w:p w:rsidR="00E55EFA" w:rsidRPr="007A0579" w:rsidRDefault="00E55EFA" w:rsidP="00E55EFA">
      <w:pPr>
        <w:tabs>
          <w:tab w:val="right" w:pos="-3261"/>
        </w:tabs>
        <w:spacing w:line="276" w:lineRule="auto"/>
        <w:jc w:val="both"/>
        <w:rPr>
          <w:rFonts w:ascii="Verdana" w:hAnsi="Verdana"/>
          <w:sz w:val="20"/>
          <w:szCs w:val="20"/>
        </w:rPr>
      </w:pPr>
    </w:p>
    <w:p w:rsidR="00317665" w:rsidRPr="007A0579" w:rsidRDefault="00F2518C" w:rsidP="0028114B">
      <w:pPr>
        <w:tabs>
          <w:tab w:val="right" w:pos="-3261"/>
        </w:tabs>
        <w:spacing w:line="276" w:lineRule="auto"/>
        <w:jc w:val="both"/>
        <w:rPr>
          <w:rFonts w:ascii="Verdana" w:hAnsi="Verdana"/>
          <w:sz w:val="20"/>
          <w:szCs w:val="20"/>
        </w:rPr>
      </w:pPr>
      <w:r w:rsidRPr="007A0579">
        <w:rPr>
          <w:rFonts w:ascii="Verdana" w:hAnsi="Verdana"/>
          <w:sz w:val="20"/>
          <w:szCs w:val="20"/>
        </w:rPr>
        <w:t>This</w:t>
      </w:r>
      <w:r w:rsidR="00317665" w:rsidRPr="007A0579">
        <w:rPr>
          <w:rFonts w:ascii="Verdana" w:hAnsi="Verdana"/>
          <w:sz w:val="20"/>
          <w:szCs w:val="20"/>
        </w:rPr>
        <w:t xml:space="preserve"> report provides </w:t>
      </w:r>
      <w:r w:rsidR="00D15DFE" w:rsidRPr="007A0579">
        <w:rPr>
          <w:rFonts w:ascii="Verdana" w:hAnsi="Verdana"/>
          <w:sz w:val="20"/>
          <w:szCs w:val="20"/>
        </w:rPr>
        <w:t xml:space="preserve">members of the Pension Fund Committee of Lancashire County Pension Fund (LCPF) with </w:t>
      </w:r>
      <w:r w:rsidR="004419F0" w:rsidRPr="007A0579">
        <w:rPr>
          <w:rFonts w:ascii="Verdana" w:hAnsi="Verdana"/>
          <w:sz w:val="20"/>
          <w:szCs w:val="20"/>
        </w:rPr>
        <w:t>a</w:t>
      </w:r>
      <w:r w:rsidR="007A0579">
        <w:rPr>
          <w:rFonts w:ascii="Verdana" w:hAnsi="Verdana"/>
          <w:sz w:val="20"/>
          <w:szCs w:val="20"/>
        </w:rPr>
        <w:t xml:space="preserve"> quarterly </w:t>
      </w:r>
      <w:r w:rsidR="004419F0" w:rsidRPr="007A0579">
        <w:rPr>
          <w:rFonts w:ascii="Verdana" w:hAnsi="Verdana"/>
          <w:sz w:val="20"/>
          <w:szCs w:val="20"/>
        </w:rPr>
        <w:t>update on Responsible Investment (RI) matters</w:t>
      </w:r>
      <w:r w:rsidR="00D15DFE" w:rsidRPr="007A0579">
        <w:rPr>
          <w:rFonts w:ascii="Verdana" w:hAnsi="Verdana"/>
          <w:sz w:val="20"/>
          <w:szCs w:val="20"/>
        </w:rPr>
        <w:t>.</w:t>
      </w:r>
    </w:p>
    <w:p w:rsidR="00F2518C" w:rsidRPr="007A0579" w:rsidRDefault="00F2518C" w:rsidP="0028114B">
      <w:pPr>
        <w:tabs>
          <w:tab w:val="right" w:pos="-3261"/>
        </w:tabs>
        <w:suppressAutoHyphens/>
        <w:spacing w:line="276" w:lineRule="auto"/>
        <w:jc w:val="both"/>
        <w:rPr>
          <w:rFonts w:ascii="Verdana" w:hAnsi="Verdana"/>
          <w:position w:val="-6"/>
          <w:sz w:val="20"/>
          <w:szCs w:val="20"/>
        </w:rPr>
      </w:pPr>
    </w:p>
    <w:p w:rsidR="00F2518C" w:rsidRPr="007A0579" w:rsidRDefault="00F2518C" w:rsidP="0028114B">
      <w:pPr>
        <w:tabs>
          <w:tab w:val="right" w:pos="-3261"/>
        </w:tabs>
        <w:suppressAutoHyphens/>
        <w:spacing w:line="276" w:lineRule="auto"/>
        <w:jc w:val="both"/>
        <w:rPr>
          <w:rFonts w:ascii="Verdana" w:hAnsi="Verdana"/>
          <w:position w:val="-6"/>
          <w:sz w:val="20"/>
          <w:szCs w:val="20"/>
        </w:rPr>
      </w:pPr>
      <w:r w:rsidRPr="007A0579">
        <w:rPr>
          <w:rFonts w:ascii="Verdana" w:hAnsi="Verdana"/>
          <w:position w:val="-6"/>
          <w:sz w:val="20"/>
          <w:szCs w:val="20"/>
        </w:rPr>
        <w:t xml:space="preserve">This is the first </w:t>
      </w:r>
      <w:r w:rsidR="004C4754" w:rsidRPr="007A0579">
        <w:rPr>
          <w:rFonts w:ascii="Verdana" w:hAnsi="Verdana"/>
          <w:position w:val="-6"/>
          <w:sz w:val="20"/>
          <w:szCs w:val="20"/>
        </w:rPr>
        <w:t xml:space="preserve">RI </w:t>
      </w:r>
      <w:r w:rsidRPr="007A0579">
        <w:rPr>
          <w:rFonts w:ascii="Verdana" w:hAnsi="Verdana"/>
          <w:position w:val="-6"/>
          <w:sz w:val="20"/>
          <w:szCs w:val="20"/>
        </w:rPr>
        <w:t xml:space="preserve">report </w:t>
      </w:r>
      <w:r w:rsidR="004C4754">
        <w:rPr>
          <w:rFonts w:ascii="Verdana" w:hAnsi="Verdana"/>
          <w:position w:val="-6"/>
          <w:sz w:val="20"/>
          <w:szCs w:val="20"/>
        </w:rPr>
        <w:t xml:space="preserve">presented </w:t>
      </w:r>
      <w:r w:rsidRPr="007A0579">
        <w:rPr>
          <w:rFonts w:ascii="Verdana" w:hAnsi="Verdana"/>
          <w:position w:val="-6"/>
          <w:sz w:val="20"/>
          <w:szCs w:val="20"/>
        </w:rPr>
        <w:t>since the launch of the Local Pensions Partnership (LPP)</w:t>
      </w:r>
      <w:r w:rsidR="007A0579">
        <w:rPr>
          <w:rFonts w:ascii="Verdana" w:hAnsi="Verdana"/>
          <w:position w:val="-6"/>
          <w:sz w:val="20"/>
          <w:szCs w:val="20"/>
        </w:rPr>
        <w:t xml:space="preserve"> and s</w:t>
      </w:r>
      <w:r w:rsidR="00833F76" w:rsidRPr="007A0579">
        <w:rPr>
          <w:rFonts w:ascii="Verdana" w:hAnsi="Verdana"/>
          <w:position w:val="-6"/>
          <w:sz w:val="20"/>
          <w:szCs w:val="20"/>
        </w:rPr>
        <w:t xml:space="preserve">light </w:t>
      </w:r>
      <w:r w:rsidR="007A0579" w:rsidRPr="007A0579">
        <w:rPr>
          <w:rFonts w:ascii="Verdana" w:hAnsi="Verdana"/>
          <w:position w:val="-6"/>
          <w:sz w:val="20"/>
          <w:szCs w:val="20"/>
        </w:rPr>
        <w:t>alterations</w:t>
      </w:r>
      <w:r w:rsidR="00833F76" w:rsidRPr="007A0579">
        <w:rPr>
          <w:rFonts w:ascii="Verdana" w:hAnsi="Verdana"/>
          <w:position w:val="-6"/>
          <w:sz w:val="20"/>
          <w:szCs w:val="20"/>
        </w:rPr>
        <w:t xml:space="preserve"> in </w:t>
      </w:r>
      <w:r w:rsidR="00BF13EA" w:rsidRPr="007A0579">
        <w:rPr>
          <w:rFonts w:ascii="Verdana" w:hAnsi="Verdana"/>
          <w:position w:val="-6"/>
          <w:sz w:val="20"/>
          <w:szCs w:val="20"/>
        </w:rPr>
        <w:t>style and appearance</w:t>
      </w:r>
      <w:r w:rsidRPr="007A0579">
        <w:rPr>
          <w:rFonts w:ascii="Verdana" w:hAnsi="Verdana"/>
          <w:position w:val="-6"/>
          <w:sz w:val="20"/>
          <w:szCs w:val="20"/>
        </w:rPr>
        <w:t xml:space="preserve"> </w:t>
      </w:r>
      <w:r w:rsidR="00BF13EA" w:rsidRPr="007A0579">
        <w:rPr>
          <w:rFonts w:ascii="Verdana" w:hAnsi="Verdana"/>
          <w:position w:val="-6"/>
          <w:sz w:val="20"/>
          <w:szCs w:val="20"/>
        </w:rPr>
        <w:t>reflect</w:t>
      </w:r>
      <w:r w:rsidRPr="007A0579">
        <w:rPr>
          <w:rFonts w:ascii="Verdana" w:hAnsi="Verdana"/>
          <w:position w:val="-6"/>
          <w:sz w:val="20"/>
          <w:szCs w:val="20"/>
        </w:rPr>
        <w:t xml:space="preserve"> the change </w:t>
      </w:r>
      <w:r w:rsidR="00BF13EA" w:rsidRPr="007A0579">
        <w:rPr>
          <w:rFonts w:ascii="Verdana" w:hAnsi="Verdana"/>
          <w:position w:val="-6"/>
          <w:sz w:val="20"/>
          <w:szCs w:val="20"/>
        </w:rPr>
        <w:t>of</w:t>
      </w:r>
      <w:r w:rsidRPr="007A0579">
        <w:rPr>
          <w:rFonts w:ascii="Verdana" w:hAnsi="Verdana"/>
          <w:position w:val="-6"/>
          <w:sz w:val="20"/>
          <w:szCs w:val="20"/>
        </w:rPr>
        <w:t xml:space="preserve"> context associated with </w:t>
      </w:r>
      <w:r w:rsidR="00990762" w:rsidRPr="007A0579">
        <w:rPr>
          <w:rFonts w:ascii="Verdana" w:hAnsi="Verdana"/>
          <w:position w:val="-6"/>
          <w:sz w:val="20"/>
          <w:szCs w:val="20"/>
        </w:rPr>
        <w:t xml:space="preserve">LCPF receiving </w:t>
      </w:r>
      <w:r w:rsidRPr="007A0579">
        <w:rPr>
          <w:rFonts w:ascii="Verdana" w:hAnsi="Verdana"/>
          <w:position w:val="-6"/>
          <w:sz w:val="20"/>
          <w:szCs w:val="20"/>
        </w:rPr>
        <w:t>investment management services as a client</w:t>
      </w:r>
      <w:r w:rsidR="00763A4B" w:rsidRPr="007A0579">
        <w:rPr>
          <w:rFonts w:ascii="Verdana" w:hAnsi="Verdana"/>
          <w:position w:val="-6"/>
          <w:sz w:val="20"/>
          <w:szCs w:val="20"/>
        </w:rPr>
        <w:t xml:space="preserve"> of LPP.</w:t>
      </w:r>
    </w:p>
    <w:p w:rsidR="004419F0" w:rsidRPr="007A0579" w:rsidRDefault="004419F0" w:rsidP="0028114B">
      <w:pPr>
        <w:tabs>
          <w:tab w:val="right" w:pos="-3261"/>
        </w:tabs>
        <w:suppressAutoHyphens/>
        <w:spacing w:line="276" w:lineRule="auto"/>
        <w:jc w:val="both"/>
        <w:rPr>
          <w:rFonts w:ascii="Verdana" w:hAnsi="Verdana"/>
          <w:sz w:val="20"/>
          <w:szCs w:val="20"/>
        </w:rPr>
      </w:pPr>
    </w:p>
    <w:p w:rsidR="00E55EFA" w:rsidRPr="007A0579" w:rsidRDefault="00F2518C" w:rsidP="0028114B">
      <w:pPr>
        <w:tabs>
          <w:tab w:val="right" w:pos="-3261"/>
        </w:tabs>
        <w:suppressAutoHyphens/>
        <w:spacing w:line="276" w:lineRule="auto"/>
        <w:jc w:val="both"/>
        <w:rPr>
          <w:rFonts w:ascii="Verdana" w:hAnsi="Verdana"/>
          <w:b/>
          <w:position w:val="-6"/>
          <w:sz w:val="20"/>
          <w:szCs w:val="20"/>
        </w:rPr>
      </w:pPr>
      <w:r w:rsidRPr="007A0579">
        <w:rPr>
          <w:rFonts w:ascii="Verdana" w:hAnsi="Verdana"/>
          <w:b/>
          <w:position w:val="-6"/>
          <w:sz w:val="20"/>
          <w:szCs w:val="20"/>
        </w:rPr>
        <w:t>Introduction</w:t>
      </w:r>
    </w:p>
    <w:p w:rsidR="004419F0" w:rsidRPr="007A0579" w:rsidRDefault="004419F0" w:rsidP="0028114B">
      <w:pPr>
        <w:tabs>
          <w:tab w:val="right" w:pos="-3261"/>
        </w:tabs>
        <w:suppressAutoHyphens/>
        <w:spacing w:line="276" w:lineRule="auto"/>
        <w:jc w:val="both"/>
        <w:rPr>
          <w:rFonts w:ascii="Verdana" w:hAnsi="Verdana"/>
          <w:b/>
          <w:position w:val="-6"/>
          <w:sz w:val="20"/>
          <w:szCs w:val="20"/>
        </w:rPr>
      </w:pPr>
    </w:p>
    <w:p w:rsidR="00ED7A01" w:rsidRPr="007A0579" w:rsidRDefault="00A238AC" w:rsidP="0028114B">
      <w:pPr>
        <w:autoSpaceDE w:val="0"/>
        <w:autoSpaceDN w:val="0"/>
        <w:adjustRightInd w:val="0"/>
        <w:jc w:val="both"/>
        <w:rPr>
          <w:rFonts w:ascii="Verdana" w:hAnsi="Verdana"/>
          <w:sz w:val="20"/>
          <w:szCs w:val="20"/>
        </w:rPr>
      </w:pPr>
      <w:r w:rsidRPr="007A0579">
        <w:rPr>
          <w:rFonts w:ascii="Verdana" w:hAnsi="Verdana"/>
          <w:sz w:val="20"/>
          <w:szCs w:val="20"/>
        </w:rPr>
        <w:t xml:space="preserve">The matters </w:t>
      </w:r>
      <w:r w:rsidR="00833F76" w:rsidRPr="007A0579">
        <w:rPr>
          <w:rFonts w:ascii="Verdana" w:hAnsi="Verdana"/>
          <w:sz w:val="20"/>
          <w:szCs w:val="20"/>
        </w:rPr>
        <w:t>covered</w:t>
      </w:r>
      <w:r w:rsidR="008C6DA0">
        <w:rPr>
          <w:rFonts w:ascii="Verdana" w:hAnsi="Verdana"/>
          <w:sz w:val="20"/>
          <w:szCs w:val="20"/>
        </w:rPr>
        <w:t xml:space="preserve"> with</w:t>
      </w:r>
      <w:r w:rsidRPr="007A0579">
        <w:rPr>
          <w:rFonts w:ascii="Verdana" w:hAnsi="Verdana"/>
          <w:sz w:val="20"/>
          <w:szCs w:val="20"/>
        </w:rPr>
        <w:t>in th</w:t>
      </w:r>
      <w:r w:rsidR="00ED7A01" w:rsidRPr="007A0579">
        <w:rPr>
          <w:rFonts w:ascii="Verdana" w:hAnsi="Verdana"/>
          <w:sz w:val="20"/>
          <w:szCs w:val="20"/>
        </w:rPr>
        <w:t>is</w:t>
      </w:r>
      <w:r w:rsidRPr="007A0579">
        <w:rPr>
          <w:rFonts w:ascii="Verdana" w:hAnsi="Verdana"/>
          <w:sz w:val="20"/>
          <w:szCs w:val="20"/>
        </w:rPr>
        <w:t xml:space="preserve"> report</w:t>
      </w:r>
      <w:r w:rsidR="00ED7A01" w:rsidRPr="007A0579">
        <w:rPr>
          <w:rFonts w:ascii="Verdana" w:hAnsi="Verdana"/>
          <w:sz w:val="20"/>
          <w:szCs w:val="20"/>
        </w:rPr>
        <w:t xml:space="preserve"> </w:t>
      </w:r>
      <w:r w:rsidR="00F53C91" w:rsidRPr="007A0579">
        <w:rPr>
          <w:rFonts w:ascii="Verdana" w:hAnsi="Verdana"/>
          <w:sz w:val="20"/>
          <w:szCs w:val="20"/>
        </w:rPr>
        <w:t>reflect</w:t>
      </w:r>
      <w:r w:rsidRPr="007A0579">
        <w:rPr>
          <w:rFonts w:ascii="Verdana" w:hAnsi="Verdana"/>
          <w:sz w:val="20"/>
          <w:szCs w:val="20"/>
        </w:rPr>
        <w:t xml:space="preserve"> </w:t>
      </w:r>
      <w:r w:rsidR="00BF13EA" w:rsidRPr="007A0579">
        <w:rPr>
          <w:rFonts w:ascii="Verdana" w:hAnsi="Verdana"/>
          <w:sz w:val="20"/>
          <w:szCs w:val="20"/>
        </w:rPr>
        <w:t>the</w:t>
      </w:r>
      <w:r w:rsidRPr="007A0579">
        <w:rPr>
          <w:rFonts w:ascii="Verdana" w:hAnsi="Verdana"/>
          <w:sz w:val="20"/>
          <w:szCs w:val="20"/>
        </w:rPr>
        <w:t xml:space="preserve"> </w:t>
      </w:r>
      <w:r w:rsidR="00F53C91" w:rsidRPr="007A0579">
        <w:rPr>
          <w:rFonts w:ascii="Verdana" w:hAnsi="Verdana"/>
          <w:sz w:val="20"/>
          <w:szCs w:val="20"/>
        </w:rPr>
        <w:t xml:space="preserve">commitment </w:t>
      </w:r>
      <w:r w:rsidR="00C6350D">
        <w:rPr>
          <w:rFonts w:ascii="Verdana" w:hAnsi="Verdana"/>
          <w:sz w:val="20"/>
          <w:szCs w:val="20"/>
        </w:rPr>
        <w:t xml:space="preserve">and </w:t>
      </w:r>
      <w:r w:rsidR="00C6350D" w:rsidRPr="007A0579">
        <w:rPr>
          <w:rFonts w:ascii="Verdana" w:hAnsi="Verdana"/>
          <w:sz w:val="20"/>
          <w:szCs w:val="20"/>
        </w:rPr>
        <w:t xml:space="preserve">approach </w:t>
      </w:r>
      <w:r w:rsidR="00BF13EA" w:rsidRPr="007A0579">
        <w:rPr>
          <w:rFonts w:ascii="Verdana" w:hAnsi="Verdana"/>
          <w:sz w:val="20"/>
          <w:szCs w:val="20"/>
        </w:rPr>
        <w:t xml:space="preserve">to RI </w:t>
      </w:r>
      <w:r w:rsidR="0028114B" w:rsidRPr="007A0579">
        <w:rPr>
          <w:rFonts w:ascii="Verdana" w:hAnsi="Verdana"/>
          <w:sz w:val="20"/>
          <w:szCs w:val="20"/>
        </w:rPr>
        <w:t>set out</w:t>
      </w:r>
      <w:r w:rsidRPr="007A0579">
        <w:rPr>
          <w:rFonts w:ascii="Verdana" w:hAnsi="Verdana"/>
          <w:sz w:val="20"/>
          <w:szCs w:val="20"/>
        </w:rPr>
        <w:t xml:space="preserve"> </w:t>
      </w:r>
      <w:r w:rsidR="00ED7A01" w:rsidRPr="007A0579">
        <w:rPr>
          <w:rFonts w:ascii="Verdana" w:hAnsi="Verdana"/>
          <w:sz w:val="20"/>
          <w:szCs w:val="20"/>
        </w:rPr>
        <w:t xml:space="preserve">within </w:t>
      </w:r>
      <w:r w:rsidR="0028080C" w:rsidRPr="007A0579">
        <w:rPr>
          <w:rFonts w:ascii="Verdana" w:hAnsi="Verdana"/>
          <w:sz w:val="20"/>
          <w:szCs w:val="20"/>
        </w:rPr>
        <w:t>LCPF's</w:t>
      </w:r>
      <w:r w:rsidRPr="007A0579">
        <w:rPr>
          <w:rFonts w:ascii="Verdana" w:hAnsi="Verdana"/>
          <w:sz w:val="20"/>
          <w:szCs w:val="20"/>
        </w:rPr>
        <w:t xml:space="preserve"> Statement of Investment Principles</w:t>
      </w:r>
      <w:r w:rsidR="00EE258F" w:rsidRPr="007A0579">
        <w:rPr>
          <w:rFonts w:ascii="Verdana" w:hAnsi="Verdana"/>
          <w:sz w:val="20"/>
          <w:szCs w:val="20"/>
        </w:rPr>
        <w:t xml:space="preserve"> (SIP). The SIP</w:t>
      </w:r>
      <w:r w:rsidRPr="007A0579">
        <w:rPr>
          <w:rFonts w:ascii="Verdana" w:hAnsi="Verdana"/>
          <w:sz w:val="20"/>
          <w:szCs w:val="20"/>
        </w:rPr>
        <w:t xml:space="preserve"> </w:t>
      </w:r>
      <w:r w:rsidR="00F2518C" w:rsidRPr="007A0579">
        <w:rPr>
          <w:rFonts w:ascii="Verdana" w:hAnsi="Verdana"/>
          <w:sz w:val="20"/>
          <w:szCs w:val="20"/>
        </w:rPr>
        <w:t>confirms</w:t>
      </w:r>
      <w:r w:rsidR="0028080C" w:rsidRPr="007A0579">
        <w:rPr>
          <w:rFonts w:ascii="Verdana" w:hAnsi="Verdana"/>
          <w:sz w:val="20"/>
          <w:szCs w:val="20"/>
        </w:rPr>
        <w:t xml:space="preserve"> that the objective of </w:t>
      </w:r>
      <w:r w:rsidR="00EE258F" w:rsidRPr="007A0579">
        <w:rPr>
          <w:rFonts w:ascii="Verdana" w:hAnsi="Verdana"/>
          <w:sz w:val="20"/>
          <w:szCs w:val="20"/>
        </w:rPr>
        <w:t>RI</w:t>
      </w:r>
      <w:r w:rsidR="0028080C" w:rsidRPr="007A0579">
        <w:rPr>
          <w:rFonts w:ascii="Verdana" w:hAnsi="Verdana"/>
          <w:sz w:val="20"/>
          <w:szCs w:val="20"/>
        </w:rPr>
        <w:t xml:space="preserve"> </w:t>
      </w:r>
      <w:r w:rsidR="00F2518C" w:rsidRPr="007A0579">
        <w:rPr>
          <w:rFonts w:ascii="Verdana" w:hAnsi="Verdana"/>
          <w:sz w:val="20"/>
          <w:szCs w:val="20"/>
        </w:rPr>
        <w:t xml:space="preserve">activity </w:t>
      </w:r>
      <w:r w:rsidR="0028080C" w:rsidRPr="007A0579">
        <w:rPr>
          <w:rFonts w:ascii="Verdana" w:hAnsi="Verdana"/>
          <w:sz w:val="20"/>
          <w:szCs w:val="20"/>
        </w:rPr>
        <w:t>is to decrease investor risk</w:t>
      </w:r>
      <w:r w:rsidR="00EE258F" w:rsidRPr="007A0579">
        <w:rPr>
          <w:rFonts w:ascii="Verdana" w:hAnsi="Verdana"/>
          <w:sz w:val="20"/>
          <w:szCs w:val="20"/>
        </w:rPr>
        <w:t xml:space="preserve">, </w:t>
      </w:r>
      <w:r w:rsidR="0028080C" w:rsidRPr="007A0579">
        <w:rPr>
          <w:rFonts w:ascii="Verdana" w:hAnsi="Verdana"/>
          <w:sz w:val="20"/>
          <w:szCs w:val="20"/>
        </w:rPr>
        <w:t xml:space="preserve">improve risk-adjusted returns </w:t>
      </w:r>
      <w:r w:rsidR="00EE258F" w:rsidRPr="007A0579">
        <w:rPr>
          <w:rFonts w:ascii="Verdana" w:hAnsi="Verdana"/>
          <w:sz w:val="20"/>
          <w:szCs w:val="20"/>
        </w:rPr>
        <w:t xml:space="preserve">and </w:t>
      </w:r>
      <w:r w:rsidR="00EE258F" w:rsidRPr="007A0579">
        <w:rPr>
          <w:rFonts w:ascii="Verdana" w:hAnsi="Verdana" w:cs="TT3B97o00"/>
          <w:sz w:val="20"/>
          <w:szCs w:val="20"/>
        </w:rPr>
        <w:t xml:space="preserve">help the Fund adhere to the UK Stewardship Code </w:t>
      </w:r>
      <w:r w:rsidR="00EE258F" w:rsidRPr="007A0579">
        <w:rPr>
          <w:rFonts w:ascii="Verdana" w:hAnsi="Verdana"/>
          <w:sz w:val="20"/>
          <w:szCs w:val="20"/>
        </w:rPr>
        <w:t>through</w:t>
      </w:r>
      <w:r w:rsidR="00F2518C" w:rsidRPr="007A0579">
        <w:rPr>
          <w:rFonts w:ascii="Verdana" w:hAnsi="Verdana"/>
          <w:sz w:val="20"/>
          <w:szCs w:val="20"/>
        </w:rPr>
        <w:t>;</w:t>
      </w:r>
    </w:p>
    <w:p w:rsidR="00F2518C" w:rsidRPr="007A0579" w:rsidRDefault="00F2518C" w:rsidP="0028114B">
      <w:pPr>
        <w:autoSpaceDE w:val="0"/>
        <w:autoSpaceDN w:val="0"/>
        <w:adjustRightInd w:val="0"/>
        <w:jc w:val="both"/>
        <w:rPr>
          <w:rFonts w:ascii="Verdana" w:hAnsi="Verdana" w:cs="TT3B97o00"/>
          <w:sz w:val="20"/>
          <w:szCs w:val="20"/>
        </w:rPr>
      </w:pPr>
    </w:p>
    <w:p w:rsidR="0028080C" w:rsidRPr="007A0579" w:rsidRDefault="0028080C" w:rsidP="0028114B">
      <w:pPr>
        <w:pStyle w:val="ListParagraph"/>
        <w:numPr>
          <w:ilvl w:val="0"/>
          <w:numId w:val="2"/>
        </w:numPr>
        <w:ind w:left="426" w:hanging="426"/>
        <w:jc w:val="both"/>
        <w:rPr>
          <w:rFonts w:ascii="Verdana" w:hAnsi="Verdana"/>
        </w:rPr>
      </w:pPr>
      <w:r w:rsidRPr="007A0579">
        <w:rPr>
          <w:rFonts w:ascii="Verdana" w:hAnsi="Verdana"/>
        </w:rPr>
        <w:t>incorporating</w:t>
      </w:r>
      <w:r w:rsidR="00ED7A01" w:rsidRPr="007A0579">
        <w:rPr>
          <w:rFonts w:ascii="Verdana" w:hAnsi="Verdana"/>
        </w:rPr>
        <w:t xml:space="preserve"> material extra-financial factors </w:t>
      </w:r>
      <w:r w:rsidR="00BF13EA" w:rsidRPr="007A0579">
        <w:rPr>
          <w:rFonts w:ascii="Verdana" w:hAnsi="Verdana"/>
        </w:rPr>
        <w:t xml:space="preserve">(Environmental, Social and Governance considerations) </w:t>
      </w:r>
      <w:r w:rsidR="00ED7A01" w:rsidRPr="007A0579">
        <w:rPr>
          <w:rFonts w:ascii="Verdana" w:hAnsi="Verdana"/>
        </w:rPr>
        <w:t>w</w:t>
      </w:r>
      <w:r w:rsidRPr="007A0579">
        <w:rPr>
          <w:rFonts w:ascii="Verdana" w:hAnsi="Verdana"/>
        </w:rPr>
        <w:t xml:space="preserve">ithin investment decisions; </w:t>
      </w:r>
    </w:p>
    <w:p w:rsidR="00EE258F" w:rsidRPr="007A0579" w:rsidRDefault="0028080C" w:rsidP="0028114B">
      <w:pPr>
        <w:pStyle w:val="ListParagraph"/>
        <w:numPr>
          <w:ilvl w:val="0"/>
          <w:numId w:val="2"/>
        </w:numPr>
        <w:ind w:left="426" w:hanging="426"/>
        <w:jc w:val="both"/>
        <w:rPr>
          <w:rFonts w:ascii="Verdana" w:hAnsi="Verdana"/>
        </w:rPr>
      </w:pPr>
      <w:r w:rsidRPr="007A0579">
        <w:rPr>
          <w:rFonts w:ascii="Verdana" w:hAnsi="Verdana"/>
        </w:rPr>
        <w:t xml:space="preserve">utilising ownership rights </w:t>
      </w:r>
      <w:r w:rsidR="00ED7A01" w:rsidRPr="007A0579">
        <w:rPr>
          <w:rFonts w:ascii="Verdana" w:hAnsi="Verdana"/>
        </w:rPr>
        <w:t>to protect and enh</w:t>
      </w:r>
      <w:r w:rsidRPr="007A0579">
        <w:rPr>
          <w:rFonts w:ascii="Verdana" w:hAnsi="Verdana"/>
        </w:rPr>
        <w:t xml:space="preserve">ance shareholder value over the </w:t>
      </w:r>
      <w:r w:rsidR="00ED7A01" w:rsidRPr="007A0579">
        <w:rPr>
          <w:rFonts w:ascii="Verdana" w:hAnsi="Verdana"/>
        </w:rPr>
        <w:t>long term</w:t>
      </w:r>
      <w:r w:rsidR="00F2518C" w:rsidRPr="007A0579">
        <w:rPr>
          <w:rFonts w:ascii="Verdana" w:hAnsi="Verdana"/>
        </w:rPr>
        <w:t xml:space="preserve">, </w:t>
      </w:r>
      <w:r w:rsidR="00F2518C" w:rsidRPr="007A0579">
        <w:rPr>
          <w:rFonts w:ascii="Verdana" w:hAnsi="Verdana" w:cs="TT3B97o00"/>
        </w:rPr>
        <w:t>primarily through voting and engagement.</w:t>
      </w:r>
    </w:p>
    <w:p w:rsidR="00BF13EA" w:rsidRPr="007A0579" w:rsidRDefault="00BF13EA" w:rsidP="0028114B">
      <w:pPr>
        <w:autoSpaceDE w:val="0"/>
        <w:autoSpaceDN w:val="0"/>
        <w:adjustRightInd w:val="0"/>
        <w:jc w:val="both"/>
        <w:rPr>
          <w:rFonts w:ascii="Verdana" w:hAnsi="Verdana" w:cs="TT3BA2o00"/>
          <w:sz w:val="20"/>
          <w:szCs w:val="20"/>
        </w:rPr>
      </w:pPr>
    </w:p>
    <w:p w:rsidR="00F53C91" w:rsidRPr="007A0579" w:rsidRDefault="00574C33" w:rsidP="00F53C91">
      <w:pPr>
        <w:autoSpaceDE w:val="0"/>
        <w:autoSpaceDN w:val="0"/>
        <w:adjustRightInd w:val="0"/>
        <w:jc w:val="both"/>
        <w:rPr>
          <w:rFonts w:ascii="Verdana" w:hAnsi="Verdana" w:cs="TT3B97o00"/>
          <w:sz w:val="20"/>
          <w:szCs w:val="20"/>
        </w:rPr>
      </w:pPr>
      <w:r w:rsidRPr="007A0579">
        <w:rPr>
          <w:rFonts w:ascii="Verdana" w:hAnsi="Verdana" w:cs="TT3B97o00"/>
          <w:sz w:val="20"/>
          <w:szCs w:val="20"/>
        </w:rPr>
        <w:t xml:space="preserve">The practical implementation of </w:t>
      </w:r>
      <w:r w:rsidR="0028114B" w:rsidRPr="007A0579">
        <w:rPr>
          <w:rFonts w:ascii="Verdana" w:hAnsi="Verdana" w:cs="TT3B97o00"/>
          <w:sz w:val="20"/>
          <w:szCs w:val="20"/>
        </w:rPr>
        <w:t xml:space="preserve">the Fund's </w:t>
      </w:r>
      <w:r w:rsidR="00F53C91" w:rsidRPr="007A0579">
        <w:rPr>
          <w:rFonts w:ascii="Verdana" w:hAnsi="Verdana" w:cs="TT3B97o00"/>
          <w:sz w:val="20"/>
          <w:szCs w:val="20"/>
        </w:rPr>
        <w:t xml:space="preserve">commitment to </w:t>
      </w:r>
      <w:r w:rsidR="0028114B" w:rsidRPr="007A0579">
        <w:rPr>
          <w:rFonts w:ascii="Verdana" w:hAnsi="Verdana" w:cs="TT3B97o00"/>
          <w:sz w:val="20"/>
          <w:szCs w:val="20"/>
        </w:rPr>
        <w:t xml:space="preserve">RI </w:t>
      </w:r>
      <w:r w:rsidR="00763A4B" w:rsidRPr="007A0579">
        <w:rPr>
          <w:rFonts w:ascii="Verdana" w:hAnsi="Verdana" w:cs="TT3B97o00"/>
          <w:sz w:val="20"/>
          <w:szCs w:val="20"/>
        </w:rPr>
        <w:t xml:space="preserve">involves </w:t>
      </w:r>
      <w:r w:rsidRPr="007A0579">
        <w:rPr>
          <w:rFonts w:ascii="Verdana" w:hAnsi="Verdana" w:cs="TT3B97o00"/>
          <w:sz w:val="20"/>
          <w:szCs w:val="20"/>
        </w:rPr>
        <w:t>four areas of activity</w:t>
      </w:r>
      <w:r w:rsidR="00F53C91" w:rsidRPr="007A0579">
        <w:rPr>
          <w:rFonts w:ascii="Verdana" w:hAnsi="Verdana" w:cs="TT3B97o00"/>
          <w:sz w:val="20"/>
          <w:szCs w:val="20"/>
        </w:rPr>
        <w:t xml:space="preserve"> which are each covered in turn within the report.</w:t>
      </w:r>
    </w:p>
    <w:p w:rsidR="00574C33" w:rsidRPr="007A0579" w:rsidRDefault="00574C33" w:rsidP="0028114B">
      <w:pPr>
        <w:autoSpaceDE w:val="0"/>
        <w:autoSpaceDN w:val="0"/>
        <w:adjustRightInd w:val="0"/>
        <w:jc w:val="both"/>
        <w:rPr>
          <w:rFonts w:ascii="Verdana" w:hAnsi="Verdana" w:cs="TT3BA2o00"/>
          <w:sz w:val="20"/>
          <w:szCs w:val="20"/>
        </w:rPr>
      </w:pPr>
    </w:p>
    <w:p w:rsidR="0028080C" w:rsidRPr="007A0579" w:rsidRDefault="00BF13EA" w:rsidP="0028114B">
      <w:pPr>
        <w:pStyle w:val="ListParagraph"/>
        <w:numPr>
          <w:ilvl w:val="0"/>
          <w:numId w:val="5"/>
        </w:numPr>
        <w:autoSpaceDE w:val="0"/>
        <w:autoSpaceDN w:val="0"/>
        <w:adjustRightInd w:val="0"/>
        <w:ind w:left="426" w:hanging="426"/>
        <w:jc w:val="both"/>
        <w:rPr>
          <w:rFonts w:ascii="Verdana" w:hAnsi="Verdana" w:cs="TT3BA2o00"/>
        </w:rPr>
      </w:pPr>
      <w:r w:rsidRPr="007A0579">
        <w:rPr>
          <w:rFonts w:ascii="Verdana" w:hAnsi="Verdana" w:cs="TT3BA2o00"/>
        </w:rPr>
        <w:t>Voting Globally</w:t>
      </w:r>
    </w:p>
    <w:p w:rsidR="00BF13EA" w:rsidRPr="007A0579" w:rsidRDefault="00BF13EA" w:rsidP="0028114B">
      <w:pPr>
        <w:pStyle w:val="ListParagraph"/>
        <w:numPr>
          <w:ilvl w:val="0"/>
          <w:numId w:val="5"/>
        </w:numPr>
        <w:autoSpaceDE w:val="0"/>
        <w:autoSpaceDN w:val="0"/>
        <w:adjustRightInd w:val="0"/>
        <w:ind w:left="426" w:hanging="426"/>
        <w:jc w:val="both"/>
        <w:rPr>
          <w:rFonts w:ascii="Verdana" w:hAnsi="Verdana" w:cs="TT3BA2o00"/>
        </w:rPr>
      </w:pPr>
      <w:r w:rsidRPr="007A0579">
        <w:rPr>
          <w:rFonts w:ascii="Verdana" w:hAnsi="Verdana" w:cs="TT3BA2o00"/>
        </w:rPr>
        <w:t>Engagement through Partnerships</w:t>
      </w:r>
    </w:p>
    <w:p w:rsidR="00BF13EA" w:rsidRPr="007A0579" w:rsidRDefault="00BF13EA" w:rsidP="0028114B">
      <w:pPr>
        <w:pStyle w:val="ListParagraph"/>
        <w:numPr>
          <w:ilvl w:val="0"/>
          <w:numId w:val="5"/>
        </w:numPr>
        <w:autoSpaceDE w:val="0"/>
        <w:autoSpaceDN w:val="0"/>
        <w:adjustRightInd w:val="0"/>
        <w:ind w:left="426" w:hanging="426"/>
        <w:jc w:val="both"/>
        <w:rPr>
          <w:rFonts w:ascii="Verdana" w:hAnsi="Verdana" w:cs="TT3BA2o00"/>
        </w:rPr>
      </w:pPr>
      <w:r w:rsidRPr="007A0579">
        <w:rPr>
          <w:rFonts w:ascii="Verdana" w:hAnsi="Verdana" w:cs="TT3BA2o00"/>
        </w:rPr>
        <w:t>Shareholder Litigation</w:t>
      </w:r>
    </w:p>
    <w:p w:rsidR="008C6DA0" w:rsidRPr="004C4754" w:rsidRDefault="00BF13EA" w:rsidP="0028114B">
      <w:pPr>
        <w:pStyle w:val="ListParagraph"/>
        <w:numPr>
          <w:ilvl w:val="0"/>
          <w:numId w:val="5"/>
        </w:numPr>
        <w:autoSpaceDE w:val="0"/>
        <w:autoSpaceDN w:val="0"/>
        <w:adjustRightInd w:val="0"/>
        <w:ind w:left="426" w:hanging="426"/>
        <w:jc w:val="both"/>
        <w:rPr>
          <w:rFonts w:ascii="Verdana" w:hAnsi="Verdana" w:cs="TT3BA2o00"/>
        </w:rPr>
      </w:pPr>
      <w:r w:rsidRPr="007A0579">
        <w:rPr>
          <w:rFonts w:ascii="Verdana" w:hAnsi="Verdana" w:cs="TT3BA2o00"/>
        </w:rPr>
        <w:t>Active Investing</w:t>
      </w:r>
    </w:p>
    <w:p w:rsidR="008C6DA0" w:rsidRDefault="008C6DA0" w:rsidP="0028114B">
      <w:pPr>
        <w:autoSpaceDE w:val="0"/>
        <w:autoSpaceDN w:val="0"/>
        <w:adjustRightInd w:val="0"/>
        <w:jc w:val="both"/>
        <w:rPr>
          <w:rFonts w:ascii="Verdana" w:hAnsi="Verdana" w:cs="TT3BA2o00"/>
          <w:sz w:val="20"/>
          <w:szCs w:val="20"/>
        </w:rPr>
      </w:pPr>
    </w:p>
    <w:p w:rsidR="00265DB0" w:rsidRDefault="00265DB0" w:rsidP="0028114B">
      <w:pPr>
        <w:autoSpaceDE w:val="0"/>
        <w:autoSpaceDN w:val="0"/>
        <w:adjustRightInd w:val="0"/>
        <w:jc w:val="both"/>
        <w:rPr>
          <w:rFonts w:ascii="Verdana" w:hAnsi="Verdana" w:cs="TT3BA2o00"/>
          <w:sz w:val="20"/>
          <w:szCs w:val="20"/>
        </w:rPr>
      </w:pPr>
    </w:p>
    <w:p w:rsidR="00265DB0" w:rsidRPr="007A0579" w:rsidRDefault="00265DB0" w:rsidP="0028114B">
      <w:pPr>
        <w:autoSpaceDE w:val="0"/>
        <w:autoSpaceDN w:val="0"/>
        <w:adjustRightInd w:val="0"/>
        <w:jc w:val="both"/>
        <w:rPr>
          <w:rFonts w:ascii="Verdana" w:hAnsi="Verdana" w:cs="TT3BA2o00"/>
          <w:sz w:val="20"/>
          <w:szCs w:val="20"/>
        </w:rPr>
      </w:pPr>
    </w:p>
    <w:p w:rsidR="00574C33" w:rsidRPr="007A0579" w:rsidRDefault="00574C33" w:rsidP="00763A4B">
      <w:pPr>
        <w:pStyle w:val="ListParagraph"/>
        <w:numPr>
          <w:ilvl w:val="0"/>
          <w:numId w:val="4"/>
        </w:numPr>
        <w:autoSpaceDE w:val="0"/>
        <w:autoSpaceDN w:val="0"/>
        <w:adjustRightInd w:val="0"/>
        <w:ind w:left="426" w:hanging="426"/>
        <w:rPr>
          <w:rFonts w:ascii="Verdana" w:hAnsi="Verdana" w:cs="TT3B97o00"/>
        </w:rPr>
      </w:pPr>
      <w:r w:rsidRPr="007A0579">
        <w:rPr>
          <w:rFonts w:ascii="Verdana" w:hAnsi="Verdana" w:cs="TT3BA2o00"/>
        </w:rPr>
        <w:lastRenderedPageBreak/>
        <w:t>Voting Globally</w:t>
      </w:r>
    </w:p>
    <w:p w:rsidR="00763A4B" w:rsidRPr="007A0579" w:rsidRDefault="00763A4B" w:rsidP="00763A4B">
      <w:pPr>
        <w:autoSpaceDE w:val="0"/>
        <w:autoSpaceDN w:val="0"/>
        <w:adjustRightInd w:val="0"/>
        <w:rPr>
          <w:rFonts w:ascii="Verdana" w:hAnsi="Verdana" w:cs="Arial"/>
          <w:color w:val="000000" w:themeColor="text1"/>
          <w:sz w:val="20"/>
          <w:szCs w:val="20"/>
        </w:rPr>
      </w:pPr>
    </w:p>
    <w:p w:rsidR="00763A4B" w:rsidRPr="007A0579" w:rsidRDefault="00F53C91" w:rsidP="00763A4B">
      <w:pPr>
        <w:autoSpaceDE w:val="0"/>
        <w:autoSpaceDN w:val="0"/>
        <w:adjustRightInd w:val="0"/>
        <w:rPr>
          <w:rFonts w:ascii="Verdana" w:hAnsi="Verdana" w:cs="Arial"/>
          <w:color w:val="000000" w:themeColor="text1"/>
          <w:sz w:val="20"/>
          <w:szCs w:val="20"/>
        </w:rPr>
      </w:pPr>
      <w:r w:rsidRPr="007A0579">
        <w:rPr>
          <w:rFonts w:ascii="Verdana" w:hAnsi="Verdana" w:cs="Arial"/>
          <w:color w:val="000000" w:themeColor="text1"/>
          <w:sz w:val="20"/>
          <w:szCs w:val="20"/>
        </w:rPr>
        <w:t>LCPF</w:t>
      </w:r>
      <w:r w:rsidR="00763A4B" w:rsidRPr="007A0579">
        <w:rPr>
          <w:rFonts w:ascii="Verdana" w:hAnsi="Verdana" w:cs="Arial"/>
          <w:color w:val="000000" w:themeColor="text1"/>
          <w:sz w:val="20"/>
          <w:szCs w:val="20"/>
        </w:rPr>
        <w:t xml:space="preserve"> owns shares in listed companies across the globe. To ensure consistent and effective use of </w:t>
      </w:r>
      <w:r w:rsidR="00EE7C32" w:rsidRPr="007A0579">
        <w:rPr>
          <w:rFonts w:ascii="Verdana" w:hAnsi="Verdana" w:cs="Arial"/>
          <w:color w:val="000000" w:themeColor="text1"/>
          <w:sz w:val="20"/>
          <w:szCs w:val="20"/>
        </w:rPr>
        <w:t xml:space="preserve">the </w:t>
      </w:r>
      <w:r w:rsidR="00763A4B" w:rsidRPr="007A0579">
        <w:rPr>
          <w:rFonts w:ascii="Verdana" w:hAnsi="Verdana" w:cs="Arial"/>
          <w:color w:val="000000" w:themeColor="text1"/>
          <w:sz w:val="20"/>
          <w:szCs w:val="20"/>
        </w:rPr>
        <w:t xml:space="preserve">voting rights </w:t>
      </w:r>
      <w:r w:rsidR="00EE7C32" w:rsidRPr="007A0579">
        <w:rPr>
          <w:rFonts w:ascii="Verdana" w:hAnsi="Verdana" w:cs="Arial"/>
          <w:color w:val="000000" w:themeColor="text1"/>
          <w:sz w:val="20"/>
          <w:szCs w:val="20"/>
        </w:rPr>
        <w:t xml:space="preserve">attached to these assets </w:t>
      </w:r>
      <w:r w:rsidR="00763A4B" w:rsidRPr="007A0579">
        <w:rPr>
          <w:rFonts w:ascii="Verdana" w:hAnsi="Verdana" w:cs="Arial"/>
          <w:color w:val="000000" w:themeColor="text1"/>
          <w:sz w:val="20"/>
          <w:szCs w:val="20"/>
        </w:rPr>
        <w:t xml:space="preserve">LCPF employs </w:t>
      </w:r>
      <w:r w:rsidR="00833F76" w:rsidRPr="007A0579">
        <w:rPr>
          <w:rFonts w:ascii="Verdana" w:hAnsi="Verdana"/>
          <w:color w:val="000000" w:themeColor="text1"/>
          <w:sz w:val="20"/>
          <w:szCs w:val="20"/>
        </w:rPr>
        <w:t xml:space="preserve">Pensions and Investment Research Consultants Ltd (PIRC) as </w:t>
      </w:r>
      <w:r w:rsidR="00763A4B" w:rsidRPr="007A0579">
        <w:rPr>
          <w:rFonts w:ascii="Verdana" w:hAnsi="Verdana" w:cs="Arial"/>
          <w:color w:val="000000" w:themeColor="text1"/>
          <w:sz w:val="20"/>
          <w:szCs w:val="20"/>
        </w:rPr>
        <w:t>a</w:t>
      </w:r>
      <w:r w:rsidR="00EE7C32" w:rsidRPr="007A0579">
        <w:rPr>
          <w:rFonts w:ascii="Verdana" w:hAnsi="Verdana" w:cs="Arial"/>
          <w:color w:val="000000" w:themeColor="text1"/>
          <w:sz w:val="20"/>
          <w:szCs w:val="20"/>
        </w:rPr>
        <w:t xml:space="preserve">n external </w:t>
      </w:r>
      <w:r w:rsidR="00763A4B" w:rsidRPr="007A0579">
        <w:rPr>
          <w:rFonts w:ascii="Verdana" w:hAnsi="Verdana" w:cs="Arial"/>
          <w:color w:val="000000" w:themeColor="text1"/>
          <w:sz w:val="20"/>
          <w:szCs w:val="20"/>
        </w:rPr>
        <w:t xml:space="preserve">provider of </w:t>
      </w:r>
      <w:r w:rsidR="00763A4B" w:rsidRPr="007A0579">
        <w:rPr>
          <w:rFonts w:ascii="Verdana" w:hAnsi="Verdana"/>
          <w:color w:val="000000" w:themeColor="text1"/>
          <w:sz w:val="20"/>
          <w:szCs w:val="20"/>
        </w:rPr>
        <w:t>proxy voting and governance services</w:t>
      </w:r>
      <w:r w:rsidRPr="007A0579">
        <w:rPr>
          <w:rFonts w:ascii="Verdana" w:hAnsi="Verdana"/>
          <w:color w:val="000000" w:themeColor="text1"/>
          <w:sz w:val="20"/>
          <w:szCs w:val="20"/>
        </w:rPr>
        <w:t>. PIRC</w:t>
      </w:r>
      <w:r w:rsidR="00763A4B" w:rsidRPr="007A0579">
        <w:rPr>
          <w:rFonts w:ascii="Verdana" w:hAnsi="Verdana" w:cs="Arial"/>
          <w:color w:val="000000" w:themeColor="text1"/>
          <w:sz w:val="20"/>
          <w:szCs w:val="20"/>
        </w:rPr>
        <w:t xml:space="preserve"> </w:t>
      </w:r>
      <w:r w:rsidR="00833F76" w:rsidRPr="007A0579">
        <w:rPr>
          <w:rFonts w:ascii="Verdana" w:hAnsi="Verdana" w:cs="Arial"/>
          <w:color w:val="000000" w:themeColor="text1"/>
          <w:sz w:val="20"/>
          <w:szCs w:val="20"/>
        </w:rPr>
        <w:t xml:space="preserve">analyse and </w:t>
      </w:r>
      <w:r w:rsidR="00EE7C32" w:rsidRPr="007A0579">
        <w:rPr>
          <w:rFonts w:ascii="Verdana" w:hAnsi="Verdana" w:cs="Arial"/>
          <w:color w:val="000000" w:themeColor="text1"/>
          <w:sz w:val="20"/>
          <w:szCs w:val="20"/>
        </w:rPr>
        <w:t xml:space="preserve">apply voting </w:t>
      </w:r>
      <w:r w:rsidR="00EE7C32" w:rsidRPr="007A0579">
        <w:rPr>
          <w:rFonts w:ascii="Verdana" w:hAnsi="Verdana" w:cs="Arial"/>
          <w:bCs/>
          <w:color w:val="000000" w:themeColor="text1"/>
          <w:sz w:val="20"/>
          <w:szCs w:val="20"/>
        </w:rPr>
        <w:t xml:space="preserve">guidelines to </w:t>
      </w:r>
      <w:r w:rsidRPr="007A0579">
        <w:rPr>
          <w:rFonts w:ascii="Verdana" w:hAnsi="Verdana" w:cs="Arial"/>
          <w:color w:val="000000" w:themeColor="text1"/>
          <w:sz w:val="20"/>
          <w:szCs w:val="20"/>
        </w:rPr>
        <w:t xml:space="preserve">the </w:t>
      </w:r>
      <w:r w:rsidR="00EE7C32" w:rsidRPr="007A0579">
        <w:rPr>
          <w:rFonts w:ascii="Verdana" w:hAnsi="Verdana" w:cs="Arial"/>
          <w:bCs/>
          <w:color w:val="000000" w:themeColor="text1"/>
          <w:sz w:val="20"/>
          <w:szCs w:val="20"/>
        </w:rPr>
        <w:t xml:space="preserve">resolutions </w:t>
      </w:r>
      <w:r w:rsidR="009028EC" w:rsidRPr="007A0579">
        <w:rPr>
          <w:rFonts w:ascii="Verdana" w:hAnsi="Verdana" w:cs="Arial"/>
          <w:bCs/>
          <w:color w:val="000000" w:themeColor="text1"/>
          <w:sz w:val="20"/>
          <w:szCs w:val="20"/>
        </w:rPr>
        <w:t xml:space="preserve">at </w:t>
      </w:r>
      <w:r w:rsidR="00763A4B" w:rsidRPr="007A0579">
        <w:rPr>
          <w:rFonts w:ascii="Verdana" w:hAnsi="Verdana" w:cs="Arial"/>
          <w:color w:val="000000" w:themeColor="text1"/>
          <w:sz w:val="20"/>
          <w:szCs w:val="20"/>
        </w:rPr>
        <w:t>shareholder meeting</w:t>
      </w:r>
      <w:r w:rsidR="00C6350D">
        <w:rPr>
          <w:rFonts w:ascii="Verdana" w:hAnsi="Verdana" w:cs="Arial"/>
          <w:color w:val="000000" w:themeColor="text1"/>
          <w:sz w:val="20"/>
          <w:szCs w:val="20"/>
        </w:rPr>
        <w:t>s</w:t>
      </w:r>
      <w:r w:rsidR="00763A4B" w:rsidRPr="007A0579">
        <w:rPr>
          <w:rFonts w:ascii="Verdana" w:hAnsi="Verdana" w:cs="Arial"/>
          <w:color w:val="000000" w:themeColor="text1"/>
          <w:sz w:val="20"/>
          <w:szCs w:val="20"/>
        </w:rPr>
        <w:t xml:space="preserve"> </w:t>
      </w:r>
      <w:r w:rsidR="009028EC" w:rsidRPr="007A0579">
        <w:rPr>
          <w:rFonts w:ascii="Verdana" w:hAnsi="Verdana" w:cs="Arial"/>
          <w:color w:val="000000" w:themeColor="text1"/>
          <w:sz w:val="20"/>
          <w:szCs w:val="20"/>
        </w:rPr>
        <w:t xml:space="preserve">the Fund is entitled to attend </w:t>
      </w:r>
      <w:r w:rsidR="00EE7C32" w:rsidRPr="007A0579">
        <w:rPr>
          <w:rFonts w:ascii="Verdana" w:hAnsi="Verdana" w:cs="Arial"/>
          <w:color w:val="000000" w:themeColor="text1"/>
          <w:sz w:val="20"/>
          <w:szCs w:val="20"/>
        </w:rPr>
        <w:t xml:space="preserve">and manage </w:t>
      </w:r>
      <w:r w:rsidR="008C6DA0">
        <w:rPr>
          <w:rFonts w:ascii="Verdana" w:hAnsi="Verdana" w:cs="Arial"/>
          <w:color w:val="000000" w:themeColor="text1"/>
          <w:sz w:val="20"/>
          <w:szCs w:val="20"/>
        </w:rPr>
        <w:t xml:space="preserve">the process of </w:t>
      </w:r>
      <w:r w:rsidR="009028EC" w:rsidRPr="007A0579">
        <w:rPr>
          <w:rFonts w:ascii="Verdana" w:hAnsi="Verdana" w:cs="Arial"/>
          <w:color w:val="000000" w:themeColor="text1"/>
          <w:sz w:val="20"/>
          <w:szCs w:val="20"/>
        </w:rPr>
        <w:t>vot</w:t>
      </w:r>
      <w:r w:rsidR="003E2FE9" w:rsidRPr="007A0579">
        <w:rPr>
          <w:rFonts w:ascii="Verdana" w:hAnsi="Verdana" w:cs="Arial"/>
          <w:color w:val="000000" w:themeColor="text1"/>
          <w:sz w:val="20"/>
          <w:szCs w:val="20"/>
        </w:rPr>
        <w:t xml:space="preserve">e execution. </w:t>
      </w:r>
    </w:p>
    <w:p w:rsidR="00763A4B" w:rsidRPr="007A0579" w:rsidRDefault="00763A4B" w:rsidP="00763A4B">
      <w:pPr>
        <w:autoSpaceDE w:val="0"/>
        <w:autoSpaceDN w:val="0"/>
        <w:adjustRightInd w:val="0"/>
        <w:rPr>
          <w:rFonts w:ascii="Verdana" w:hAnsi="Verdana" w:cs="Arial"/>
          <w:color w:val="000000" w:themeColor="text1"/>
          <w:sz w:val="20"/>
          <w:szCs w:val="20"/>
        </w:rPr>
      </w:pPr>
    </w:p>
    <w:p w:rsidR="00195082" w:rsidRPr="007A0579" w:rsidRDefault="00EE7C32" w:rsidP="00AD0AB1">
      <w:pPr>
        <w:widowControl w:val="0"/>
        <w:outlineLvl w:val="0"/>
        <w:rPr>
          <w:rFonts w:ascii="Verdana" w:hAnsi="Verdana"/>
          <w:bCs/>
          <w:color w:val="000000" w:themeColor="text1"/>
          <w:sz w:val="20"/>
          <w:szCs w:val="20"/>
        </w:rPr>
      </w:pPr>
      <w:r w:rsidRPr="007A0579">
        <w:rPr>
          <w:rFonts w:ascii="Verdana" w:hAnsi="Verdana" w:cs="Arial"/>
          <w:bCs/>
          <w:color w:val="000000" w:themeColor="text1"/>
          <w:sz w:val="20"/>
          <w:szCs w:val="20"/>
        </w:rPr>
        <w:t>PIRC</w:t>
      </w:r>
      <w:r w:rsidR="00763A4B" w:rsidRPr="007A0579">
        <w:rPr>
          <w:rFonts w:ascii="Verdana" w:hAnsi="Verdana" w:cs="Arial"/>
          <w:bCs/>
          <w:color w:val="000000" w:themeColor="text1"/>
          <w:sz w:val="20"/>
          <w:szCs w:val="20"/>
        </w:rPr>
        <w:t xml:space="preserve"> </w:t>
      </w:r>
      <w:r w:rsidRPr="007A0579">
        <w:rPr>
          <w:rFonts w:ascii="Verdana" w:hAnsi="Verdana" w:cs="Arial"/>
          <w:bCs/>
          <w:color w:val="000000" w:themeColor="text1"/>
          <w:sz w:val="20"/>
          <w:szCs w:val="20"/>
        </w:rPr>
        <w:t xml:space="preserve">provide </w:t>
      </w:r>
      <w:r w:rsidR="00763A4B" w:rsidRPr="007A0579">
        <w:rPr>
          <w:rFonts w:ascii="Verdana" w:hAnsi="Verdana" w:cs="Arial"/>
          <w:bCs/>
          <w:color w:val="000000" w:themeColor="text1"/>
          <w:sz w:val="20"/>
          <w:szCs w:val="20"/>
        </w:rPr>
        <w:t xml:space="preserve">quarterly reports </w:t>
      </w:r>
      <w:r w:rsidR="00833F76" w:rsidRPr="007A0579">
        <w:rPr>
          <w:rFonts w:ascii="Verdana" w:hAnsi="Verdana" w:cs="Arial"/>
          <w:bCs/>
          <w:color w:val="000000" w:themeColor="text1"/>
          <w:sz w:val="20"/>
          <w:szCs w:val="20"/>
        </w:rPr>
        <w:t>providing</w:t>
      </w:r>
      <w:r w:rsidR="00763A4B" w:rsidRPr="007A0579">
        <w:rPr>
          <w:rFonts w:ascii="Verdana" w:hAnsi="Verdana" w:cs="Arial"/>
          <w:bCs/>
          <w:color w:val="000000" w:themeColor="text1"/>
          <w:sz w:val="20"/>
          <w:szCs w:val="20"/>
        </w:rPr>
        <w:t xml:space="preserve"> a retrospective summary of votes cast</w:t>
      </w:r>
      <w:r w:rsidR="00763A4B" w:rsidRPr="007A0579">
        <w:rPr>
          <w:rFonts w:ascii="Verdana" w:hAnsi="Verdana"/>
          <w:bCs/>
          <w:color w:val="000000" w:themeColor="text1"/>
          <w:sz w:val="20"/>
          <w:szCs w:val="20"/>
        </w:rPr>
        <w:t xml:space="preserve"> and the outcome of voting (where known). A </w:t>
      </w:r>
      <w:r w:rsidR="00F53C91" w:rsidRPr="007A0579">
        <w:rPr>
          <w:rFonts w:ascii="Verdana" w:hAnsi="Verdana"/>
          <w:bCs/>
          <w:color w:val="000000" w:themeColor="text1"/>
          <w:sz w:val="20"/>
          <w:szCs w:val="20"/>
        </w:rPr>
        <w:t xml:space="preserve">copy of the most recent report </w:t>
      </w:r>
      <w:r w:rsidR="00763A4B" w:rsidRPr="007A0579">
        <w:rPr>
          <w:rFonts w:ascii="Verdana" w:hAnsi="Verdana"/>
          <w:bCs/>
          <w:color w:val="000000" w:themeColor="text1"/>
          <w:sz w:val="20"/>
          <w:szCs w:val="20"/>
        </w:rPr>
        <w:t>covering the period from</w:t>
      </w:r>
      <w:r w:rsidR="00C00B07" w:rsidRPr="007A0579">
        <w:rPr>
          <w:rFonts w:ascii="Verdana" w:hAnsi="Verdana"/>
          <w:bCs/>
          <w:color w:val="000000" w:themeColor="text1"/>
          <w:sz w:val="20"/>
          <w:szCs w:val="20"/>
        </w:rPr>
        <w:t xml:space="preserve"> 1</w:t>
      </w:r>
      <w:r w:rsidR="00C00B07" w:rsidRPr="007A0579">
        <w:rPr>
          <w:rFonts w:ascii="Verdana" w:hAnsi="Verdana"/>
          <w:bCs/>
          <w:color w:val="000000" w:themeColor="text1"/>
          <w:sz w:val="20"/>
          <w:szCs w:val="20"/>
          <w:vertAlign w:val="superscript"/>
        </w:rPr>
        <w:t>st</w:t>
      </w:r>
      <w:r w:rsidR="00C00B07" w:rsidRPr="007A0579">
        <w:rPr>
          <w:rFonts w:ascii="Verdana" w:hAnsi="Verdana"/>
          <w:bCs/>
          <w:color w:val="000000" w:themeColor="text1"/>
          <w:sz w:val="20"/>
          <w:szCs w:val="20"/>
        </w:rPr>
        <w:t xml:space="preserve"> January to 31</w:t>
      </w:r>
      <w:r w:rsidR="00C00B07" w:rsidRPr="007A0579">
        <w:rPr>
          <w:rFonts w:ascii="Verdana" w:hAnsi="Verdana"/>
          <w:bCs/>
          <w:color w:val="000000" w:themeColor="text1"/>
          <w:sz w:val="20"/>
          <w:szCs w:val="20"/>
          <w:vertAlign w:val="superscript"/>
        </w:rPr>
        <w:t>st</w:t>
      </w:r>
      <w:r w:rsidR="00C00B07" w:rsidRPr="007A0579">
        <w:rPr>
          <w:rFonts w:ascii="Verdana" w:hAnsi="Verdana"/>
          <w:bCs/>
          <w:color w:val="000000" w:themeColor="text1"/>
          <w:sz w:val="20"/>
          <w:szCs w:val="20"/>
        </w:rPr>
        <w:t xml:space="preserve"> March 2016</w:t>
      </w:r>
      <w:r w:rsidR="00763A4B" w:rsidRPr="007A0579">
        <w:rPr>
          <w:rFonts w:ascii="Verdana" w:hAnsi="Verdana"/>
          <w:bCs/>
          <w:color w:val="000000" w:themeColor="text1"/>
          <w:sz w:val="20"/>
          <w:szCs w:val="20"/>
        </w:rPr>
        <w:t xml:space="preserve"> has been placed within the Members Re</w:t>
      </w:r>
      <w:r w:rsidR="00F91E15">
        <w:rPr>
          <w:rFonts w:ascii="Verdana" w:hAnsi="Verdana"/>
          <w:bCs/>
          <w:color w:val="000000" w:themeColor="text1"/>
          <w:sz w:val="20"/>
          <w:szCs w:val="20"/>
        </w:rPr>
        <w:t>tiri</w:t>
      </w:r>
      <w:r w:rsidR="00763A4B" w:rsidRPr="007A0579">
        <w:rPr>
          <w:rFonts w:ascii="Verdana" w:hAnsi="Verdana"/>
          <w:bCs/>
          <w:color w:val="000000" w:themeColor="text1"/>
          <w:sz w:val="20"/>
          <w:szCs w:val="20"/>
        </w:rPr>
        <w:t xml:space="preserve">ng Room for reference. </w:t>
      </w:r>
      <w:r w:rsidR="00833F76" w:rsidRPr="007A0579">
        <w:rPr>
          <w:rFonts w:ascii="Verdana" w:hAnsi="Verdana"/>
          <w:bCs/>
          <w:color w:val="000000" w:themeColor="text1"/>
          <w:sz w:val="20"/>
          <w:szCs w:val="20"/>
        </w:rPr>
        <w:t>In summary, d</w:t>
      </w:r>
      <w:r w:rsidR="00763A4B" w:rsidRPr="007A0579">
        <w:rPr>
          <w:rFonts w:ascii="Verdana" w:hAnsi="Verdana"/>
          <w:bCs/>
          <w:color w:val="000000" w:themeColor="text1"/>
          <w:sz w:val="20"/>
          <w:szCs w:val="20"/>
        </w:rPr>
        <w:t xml:space="preserve">uring </w:t>
      </w:r>
      <w:r w:rsidR="009028EC" w:rsidRPr="007A0579">
        <w:rPr>
          <w:rFonts w:ascii="Verdana" w:hAnsi="Verdana"/>
          <w:bCs/>
          <w:color w:val="000000" w:themeColor="text1"/>
          <w:sz w:val="20"/>
          <w:szCs w:val="20"/>
        </w:rPr>
        <w:t>the first quarter of 2016 (1</w:t>
      </w:r>
      <w:r w:rsidR="009028EC" w:rsidRPr="007A0579">
        <w:rPr>
          <w:rFonts w:ascii="Verdana" w:hAnsi="Verdana"/>
          <w:bCs/>
          <w:color w:val="000000" w:themeColor="text1"/>
          <w:sz w:val="20"/>
          <w:szCs w:val="20"/>
          <w:vertAlign w:val="superscript"/>
        </w:rPr>
        <w:t>st</w:t>
      </w:r>
      <w:r w:rsidR="009028EC" w:rsidRPr="007A0579">
        <w:rPr>
          <w:rFonts w:ascii="Verdana" w:hAnsi="Verdana"/>
          <w:bCs/>
          <w:color w:val="000000" w:themeColor="text1"/>
          <w:sz w:val="20"/>
          <w:szCs w:val="20"/>
        </w:rPr>
        <w:t xml:space="preserve"> Jan to 31 March 2016) </w:t>
      </w:r>
      <w:r w:rsidR="00763A4B" w:rsidRPr="007A0579">
        <w:rPr>
          <w:rFonts w:ascii="Verdana" w:hAnsi="Verdana"/>
          <w:bCs/>
          <w:color w:val="000000" w:themeColor="text1"/>
          <w:sz w:val="20"/>
          <w:szCs w:val="20"/>
        </w:rPr>
        <w:t>the Fund</w:t>
      </w:r>
      <w:r w:rsidR="00AD0AB1" w:rsidRPr="007A0579">
        <w:rPr>
          <w:rFonts w:ascii="Verdana" w:hAnsi="Verdana"/>
          <w:bCs/>
          <w:color w:val="000000" w:themeColor="text1"/>
          <w:sz w:val="20"/>
          <w:szCs w:val="20"/>
        </w:rPr>
        <w:t xml:space="preserve"> </w:t>
      </w:r>
      <w:r w:rsidR="00195082" w:rsidRPr="007A0579">
        <w:rPr>
          <w:rFonts w:ascii="Verdana" w:hAnsi="Verdana"/>
          <w:bCs/>
          <w:color w:val="000000" w:themeColor="text1"/>
          <w:sz w:val="20"/>
          <w:szCs w:val="20"/>
        </w:rPr>
        <w:t xml:space="preserve">voted at 36 shareholder meetings (19 </w:t>
      </w:r>
      <w:r w:rsidR="00AD0AB1" w:rsidRPr="007A0579">
        <w:rPr>
          <w:rFonts w:ascii="Verdana" w:hAnsi="Verdana"/>
          <w:bCs/>
          <w:color w:val="000000" w:themeColor="text1"/>
          <w:sz w:val="20"/>
          <w:szCs w:val="20"/>
        </w:rPr>
        <w:t xml:space="preserve">AGM, </w:t>
      </w:r>
      <w:r w:rsidR="00195082" w:rsidRPr="007A0579">
        <w:rPr>
          <w:rFonts w:ascii="Verdana" w:hAnsi="Verdana"/>
          <w:bCs/>
          <w:color w:val="000000" w:themeColor="text1"/>
          <w:sz w:val="20"/>
          <w:szCs w:val="20"/>
        </w:rPr>
        <w:t>7 EGM)</w:t>
      </w:r>
      <w:r w:rsidR="00AD0AB1" w:rsidRPr="007A0579">
        <w:rPr>
          <w:rFonts w:ascii="Verdana" w:hAnsi="Verdana"/>
          <w:bCs/>
          <w:color w:val="000000" w:themeColor="text1"/>
          <w:sz w:val="20"/>
          <w:szCs w:val="20"/>
        </w:rPr>
        <w:t xml:space="preserve"> </w:t>
      </w:r>
      <w:r w:rsidR="00833F76" w:rsidRPr="007A0579">
        <w:rPr>
          <w:rFonts w:ascii="Verdana" w:hAnsi="Verdana"/>
          <w:bCs/>
          <w:color w:val="000000" w:themeColor="text1"/>
          <w:sz w:val="20"/>
          <w:szCs w:val="20"/>
        </w:rPr>
        <w:t>and on</w:t>
      </w:r>
      <w:r w:rsidR="00F53C91" w:rsidRPr="007A0579">
        <w:rPr>
          <w:rFonts w:ascii="Verdana" w:hAnsi="Verdana"/>
          <w:bCs/>
          <w:color w:val="000000" w:themeColor="text1"/>
          <w:sz w:val="20"/>
          <w:szCs w:val="20"/>
        </w:rPr>
        <w:t xml:space="preserve"> </w:t>
      </w:r>
      <w:r w:rsidR="00AD0AB1" w:rsidRPr="007A0579">
        <w:rPr>
          <w:rFonts w:ascii="Verdana" w:hAnsi="Verdana"/>
          <w:bCs/>
          <w:color w:val="000000" w:themeColor="text1"/>
          <w:sz w:val="20"/>
          <w:szCs w:val="20"/>
        </w:rPr>
        <w:t>474 separate resolutions</w:t>
      </w:r>
      <w:r w:rsidR="00833F76" w:rsidRPr="007A0579">
        <w:rPr>
          <w:rFonts w:ascii="Verdana" w:hAnsi="Verdana"/>
          <w:bCs/>
          <w:color w:val="000000" w:themeColor="text1"/>
          <w:sz w:val="20"/>
          <w:szCs w:val="20"/>
        </w:rPr>
        <w:t xml:space="preserve">. The tables below </w:t>
      </w:r>
      <w:r w:rsidR="003E2FE9" w:rsidRPr="007A0579">
        <w:rPr>
          <w:rFonts w:ascii="Verdana" w:hAnsi="Verdana"/>
          <w:bCs/>
          <w:color w:val="000000" w:themeColor="text1"/>
          <w:sz w:val="20"/>
          <w:szCs w:val="20"/>
        </w:rPr>
        <w:t>summarise</w:t>
      </w:r>
      <w:r w:rsidR="00833F76" w:rsidRPr="007A0579">
        <w:rPr>
          <w:rFonts w:ascii="Verdana" w:hAnsi="Verdana"/>
          <w:bCs/>
          <w:color w:val="000000" w:themeColor="text1"/>
          <w:sz w:val="20"/>
          <w:szCs w:val="20"/>
        </w:rPr>
        <w:t xml:space="preserve"> the geographical spread and the direction of voting</w:t>
      </w:r>
      <w:r w:rsidR="007A0579">
        <w:rPr>
          <w:rFonts w:ascii="Verdana" w:hAnsi="Verdana"/>
          <w:bCs/>
          <w:color w:val="000000" w:themeColor="text1"/>
          <w:sz w:val="20"/>
          <w:szCs w:val="20"/>
        </w:rPr>
        <w:t xml:space="preserve"> in Q1</w:t>
      </w:r>
      <w:r w:rsidR="00AD0AB1" w:rsidRPr="007A0579">
        <w:rPr>
          <w:rFonts w:ascii="Verdana" w:hAnsi="Verdana"/>
          <w:bCs/>
          <w:color w:val="000000" w:themeColor="text1"/>
          <w:sz w:val="20"/>
          <w:szCs w:val="20"/>
        </w:rPr>
        <w:t>:</w:t>
      </w:r>
    </w:p>
    <w:p w:rsidR="00AD0AB1" w:rsidRPr="007A0579" w:rsidRDefault="00AD0AB1" w:rsidP="00763A4B">
      <w:pPr>
        <w:widowControl w:val="0"/>
        <w:outlineLvl w:val="0"/>
        <w:rPr>
          <w:rFonts w:ascii="Verdana" w:hAnsi="Verdana"/>
          <w:bCs/>
          <w:color w:val="000000" w:themeColor="text1"/>
          <w:sz w:val="20"/>
          <w:szCs w:val="20"/>
        </w:rPr>
      </w:pPr>
    </w:p>
    <w:tbl>
      <w:tblPr>
        <w:tblW w:w="9214" w:type="dxa"/>
        <w:tblInd w:w="-5" w:type="dxa"/>
        <w:tblLook w:val="04A0" w:firstRow="1" w:lastRow="0" w:firstColumn="1" w:lastColumn="0" w:noHBand="0" w:noVBand="1"/>
      </w:tblPr>
      <w:tblGrid>
        <w:gridCol w:w="3261"/>
        <w:gridCol w:w="708"/>
        <w:gridCol w:w="851"/>
        <w:gridCol w:w="283"/>
        <w:gridCol w:w="1843"/>
        <w:gridCol w:w="1418"/>
        <w:gridCol w:w="850"/>
      </w:tblGrid>
      <w:tr w:rsidR="00AD0AB1" w:rsidRPr="007A0579" w:rsidTr="00990762">
        <w:trPr>
          <w:trHeight w:val="43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AB1" w:rsidRPr="007A0579" w:rsidRDefault="00AD0AB1" w:rsidP="00AD0AB1">
            <w:pPr>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Location</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D0AB1" w:rsidRPr="007A0579" w:rsidRDefault="00AD0AB1" w:rsidP="00AD0AB1">
            <w:pPr>
              <w:jc w:val="center"/>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Meetings Voted</w:t>
            </w:r>
          </w:p>
        </w:tc>
        <w:tc>
          <w:tcPr>
            <w:tcW w:w="283" w:type="dxa"/>
            <w:tcBorders>
              <w:top w:val="nil"/>
              <w:left w:val="single" w:sz="4" w:space="0" w:color="auto"/>
              <w:bottom w:val="nil"/>
              <w:right w:val="single" w:sz="4" w:space="0" w:color="auto"/>
            </w:tcBorders>
            <w:shd w:val="clear" w:color="auto" w:fill="auto"/>
            <w:noWrap/>
            <w:vAlign w:val="bottom"/>
            <w:hideMark/>
          </w:tcPr>
          <w:p w:rsidR="00AD0AB1" w:rsidRPr="007A0579" w:rsidRDefault="00AD0AB1" w:rsidP="00AD0AB1">
            <w:pPr>
              <w:jc w:val="center"/>
              <w:rPr>
                <w:rFonts w:ascii="Verdana" w:eastAsia="Times New Roman" w:hAnsi="Verdana" w:cs="Arial"/>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AB1" w:rsidRPr="007A0579" w:rsidRDefault="00AD0AB1" w:rsidP="00AD0AB1">
            <w:pP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Vote Categories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cente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No. of Resolutions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olor w:val="323232"/>
                <w:sz w:val="20"/>
                <w:szCs w:val="20"/>
                <w:lang w:eastAsia="en-GB"/>
              </w:rPr>
            </w:pPr>
            <w:r w:rsidRPr="007A0579">
              <w:rPr>
                <w:rFonts w:ascii="Verdana" w:eastAsia="Times New Roman" w:hAnsi="Verdana"/>
                <w:color w:val="323232"/>
                <w:sz w:val="20"/>
                <w:szCs w:val="20"/>
                <w:lang w:eastAsia="en-GB"/>
              </w:rPr>
              <w:t>%</w:t>
            </w:r>
          </w:p>
        </w:tc>
      </w:tr>
      <w:tr w:rsidR="00AD0AB1" w:rsidRPr="007A0579" w:rsidTr="00990762">
        <w:trPr>
          <w:trHeight w:val="4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UK &amp; BRITISH OVERSEAS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6%</w:t>
            </w:r>
          </w:p>
        </w:tc>
        <w:tc>
          <w:tcPr>
            <w:tcW w:w="283" w:type="dxa"/>
            <w:tcBorders>
              <w:top w:val="nil"/>
              <w:left w:val="single" w:sz="4" w:space="0" w:color="auto"/>
              <w:bottom w:val="nil"/>
              <w:right w:val="single" w:sz="4" w:space="0" w:color="auto"/>
            </w:tcBorders>
            <w:shd w:val="clear" w:color="auto" w:fill="auto"/>
            <w:noWrap/>
            <w:vAlign w:val="bottom"/>
            <w:hideMark/>
          </w:tcPr>
          <w:p w:rsidR="00AD0AB1" w:rsidRPr="007A0579" w:rsidRDefault="00AD0AB1" w:rsidP="00AD0AB1">
            <w:pPr>
              <w:jc w:val="right"/>
              <w:rPr>
                <w:rFonts w:ascii="Verdana" w:eastAsia="Times New Roman" w:hAnsi="Verdana" w:cs="Arial"/>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For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cente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268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57%</w:t>
            </w:r>
          </w:p>
        </w:tc>
      </w:tr>
      <w:tr w:rsidR="00AD0AB1" w:rsidRPr="007A0579" w:rsidTr="00990762">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EUROPE &amp; GLOBAL EU</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19%</w:t>
            </w:r>
          </w:p>
        </w:tc>
        <w:tc>
          <w:tcPr>
            <w:tcW w:w="283" w:type="dxa"/>
            <w:tcBorders>
              <w:top w:val="nil"/>
              <w:left w:val="single" w:sz="4" w:space="0" w:color="auto"/>
              <w:bottom w:val="nil"/>
              <w:right w:val="single" w:sz="4" w:space="0" w:color="auto"/>
            </w:tcBorders>
            <w:shd w:val="clear" w:color="auto" w:fill="auto"/>
            <w:noWrap/>
            <w:vAlign w:val="bottom"/>
            <w:hideMark/>
          </w:tcPr>
          <w:p w:rsidR="00AD0AB1" w:rsidRPr="007A0579" w:rsidRDefault="00AD0AB1" w:rsidP="00AD0AB1">
            <w:pPr>
              <w:jc w:val="right"/>
              <w:rPr>
                <w:rFonts w:ascii="Verdana" w:eastAsia="Times New Roman" w:hAnsi="Verdana" w:cs="Arial"/>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Abstain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cente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8%</w:t>
            </w:r>
          </w:p>
        </w:tc>
      </w:tr>
      <w:tr w:rsidR="00AD0AB1" w:rsidRPr="007A0579" w:rsidTr="00990762">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USA &amp; CANADA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47%</w:t>
            </w:r>
          </w:p>
        </w:tc>
        <w:tc>
          <w:tcPr>
            <w:tcW w:w="283" w:type="dxa"/>
            <w:tcBorders>
              <w:top w:val="nil"/>
              <w:left w:val="single" w:sz="4" w:space="0" w:color="auto"/>
              <w:bottom w:val="nil"/>
              <w:right w:val="single" w:sz="4" w:space="0" w:color="auto"/>
            </w:tcBorders>
            <w:shd w:val="clear" w:color="auto" w:fill="auto"/>
            <w:noWrap/>
            <w:vAlign w:val="bottom"/>
            <w:hideMark/>
          </w:tcPr>
          <w:p w:rsidR="00AD0AB1" w:rsidRPr="007A0579" w:rsidRDefault="00AD0AB1" w:rsidP="00AD0AB1">
            <w:pPr>
              <w:jc w:val="right"/>
              <w:rPr>
                <w:rFonts w:ascii="Verdana" w:eastAsia="Times New Roman" w:hAnsi="Verdana" w:cs="Arial"/>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Oppose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cente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104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22%</w:t>
            </w:r>
          </w:p>
        </w:tc>
      </w:tr>
      <w:tr w:rsidR="00AD0AB1" w:rsidRPr="007A0579" w:rsidTr="00990762">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ASIA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14%</w:t>
            </w:r>
          </w:p>
        </w:tc>
        <w:tc>
          <w:tcPr>
            <w:tcW w:w="283" w:type="dxa"/>
            <w:tcBorders>
              <w:top w:val="nil"/>
              <w:left w:val="single" w:sz="4" w:space="0" w:color="auto"/>
              <w:bottom w:val="nil"/>
              <w:right w:val="single" w:sz="4" w:space="0" w:color="auto"/>
            </w:tcBorders>
            <w:shd w:val="clear" w:color="auto" w:fill="auto"/>
            <w:noWrap/>
            <w:vAlign w:val="bottom"/>
            <w:hideMark/>
          </w:tcPr>
          <w:p w:rsidR="00AD0AB1" w:rsidRPr="007A0579" w:rsidRDefault="00AD0AB1" w:rsidP="00AD0AB1">
            <w:pPr>
              <w:jc w:val="right"/>
              <w:rPr>
                <w:rFonts w:ascii="Verdana" w:eastAsia="Times New Roman" w:hAnsi="Verdana" w:cs="Arial"/>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C91" w:rsidRPr="007A0579" w:rsidRDefault="00AD0AB1" w:rsidP="00AD0AB1">
            <w:pP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Non-Voting</w:t>
            </w:r>
            <w:r w:rsidR="00F53C91" w:rsidRPr="007A0579">
              <w:rPr>
                <w:rFonts w:ascii="Verdana" w:eastAsia="Times New Roman" w:hAnsi="Verdana"/>
                <w:color w:val="000000"/>
                <w:sz w:val="20"/>
                <w:szCs w:val="20"/>
                <w:lang w:eastAsia="en-GB"/>
              </w:rPr>
              <w:t xml:space="preserve"> </w:t>
            </w:r>
          </w:p>
          <w:p w:rsidR="00AD0AB1" w:rsidRPr="007A0579" w:rsidRDefault="00F53C91" w:rsidP="00AD0AB1">
            <w:pP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(No ballot)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cente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4%</w:t>
            </w:r>
          </w:p>
        </w:tc>
      </w:tr>
      <w:tr w:rsidR="00AD0AB1" w:rsidRPr="007A0579" w:rsidTr="00990762">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JAPAN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3%</w:t>
            </w:r>
          </w:p>
        </w:tc>
        <w:tc>
          <w:tcPr>
            <w:tcW w:w="283" w:type="dxa"/>
            <w:tcBorders>
              <w:top w:val="nil"/>
              <w:left w:val="single" w:sz="4" w:space="0" w:color="auto"/>
              <w:bottom w:val="nil"/>
              <w:right w:val="single" w:sz="4" w:space="0" w:color="auto"/>
            </w:tcBorders>
            <w:shd w:val="clear" w:color="auto" w:fill="auto"/>
            <w:noWrap/>
            <w:vAlign w:val="bottom"/>
            <w:hideMark/>
          </w:tcPr>
          <w:p w:rsidR="00AD0AB1" w:rsidRPr="007A0579" w:rsidRDefault="00AD0AB1" w:rsidP="00AD0AB1">
            <w:pPr>
              <w:jc w:val="right"/>
              <w:rPr>
                <w:rFonts w:ascii="Verdana" w:eastAsia="Times New Roman" w:hAnsi="Verdana" w:cs="Arial"/>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Withhold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cente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46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10%</w:t>
            </w:r>
          </w:p>
        </w:tc>
      </w:tr>
      <w:tr w:rsidR="00AD0AB1" w:rsidRPr="007A0579" w:rsidTr="00990762">
        <w:trPr>
          <w:trHeight w:val="4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AUSTRALIA &amp; NEW ZEALAND</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6%</w:t>
            </w:r>
          </w:p>
        </w:tc>
        <w:tc>
          <w:tcPr>
            <w:tcW w:w="283" w:type="dxa"/>
            <w:tcBorders>
              <w:top w:val="nil"/>
              <w:left w:val="single" w:sz="4" w:space="0" w:color="auto"/>
              <w:bottom w:val="nil"/>
              <w:right w:val="single" w:sz="4" w:space="0" w:color="auto"/>
            </w:tcBorders>
            <w:shd w:val="clear" w:color="auto" w:fill="auto"/>
            <w:noWrap/>
            <w:vAlign w:val="bottom"/>
            <w:hideMark/>
          </w:tcPr>
          <w:p w:rsidR="00AD0AB1" w:rsidRPr="007A0579" w:rsidRDefault="00AD0AB1" w:rsidP="00AD0AB1">
            <w:pPr>
              <w:jc w:val="right"/>
              <w:rPr>
                <w:rFonts w:ascii="Verdana" w:eastAsia="Times New Roman" w:hAnsi="Verdana" w:cs="Arial"/>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TOTAL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center"/>
              <w:rPr>
                <w:rFonts w:ascii="Verdana" w:eastAsia="Times New Roman" w:hAnsi="Verdana"/>
                <w:color w:val="000000"/>
                <w:sz w:val="20"/>
                <w:szCs w:val="20"/>
                <w:lang w:eastAsia="en-GB"/>
              </w:rPr>
            </w:pPr>
            <w:r w:rsidRPr="007A0579">
              <w:rPr>
                <w:rFonts w:ascii="Verdana" w:eastAsia="Times New Roman" w:hAnsi="Verdana"/>
                <w:color w:val="000000"/>
                <w:sz w:val="20"/>
                <w:szCs w:val="20"/>
                <w:lang w:eastAsia="en-GB"/>
              </w:rPr>
              <w:t>474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100%</w:t>
            </w:r>
          </w:p>
        </w:tc>
      </w:tr>
      <w:tr w:rsidR="00AD0AB1" w:rsidRPr="007A0579" w:rsidTr="00990762">
        <w:trPr>
          <w:trHeight w:val="4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REST OF THE WORLD</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323232"/>
                <w:sz w:val="20"/>
                <w:szCs w:val="20"/>
                <w:lang w:eastAsia="en-GB"/>
              </w:rPr>
            </w:pPr>
            <w:r w:rsidRPr="007A0579">
              <w:rPr>
                <w:rFonts w:ascii="Verdana" w:eastAsia="Times New Roman" w:hAnsi="Verdana" w:cs="Arial"/>
                <w:color w:val="323232"/>
                <w:sz w:val="20"/>
                <w:szCs w:val="20"/>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6%</w:t>
            </w:r>
          </w:p>
        </w:tc>
        <w:tc>
          <w:tcPr>
            <w:tcW w:w="283" w:type="dxa"/>
            <w:tcBorders>
              <w:top w:val="nil"/>
              <w:left w:val="single" w:sz="4" w:space="0" w:color="auto"/>
              <w:bottom w:val="nil"/>
              <w:right w:val="nil"/>
            </w:tcBorders>
            <w:shd w:val="clear" w:color="auto" w:fill="auto"/>
            <w:noWrap/>
            <w:vAlign w:val="bottom"/>
            <w:hideMark/>
          </w:tcPr>
          <w:p w:rsidR="00AD0AB1" w:rsidRPr="007A0579" w:rsidRDefault="00AD0AB1" w:rsidP="00AD0AB1">
            <w:pPr>
              <w:jc w:val="right"/>
              <w:rPr>
                <w:rFonts w:ascii="Verdana" w:eastAsia="Times New Roman" w:hAnsi="Verdana" w:cs="Arial"/>
                <w:color w:val="000000"/>
                <w:sz w:val="20"/>
                <w:szCs w:val="20"/>
                <w:lang w:eastAsia="en-GB"/>
              </w:rPr>
            </w:pPr>
          </w:p>
        </w:tc>
        <w:tc>
          <w:tcPr>
            <w:tcW w:w="1843" w:type="dxa"/>
            <w:tcBorders>
              <w:top w:val="nil"/>
              <w:left w:val="nil"/>
              <w:bottom w:val="nil"/>
              <w:right w:val="nil"/>
            </w:tcBorders>
            <w:shd w:val="clear" w:color="auto" w:fill="auto"/>
            <w:noWrap/>
            <w:vAlign w:val="bottom"/>
            <w:hideMark/>
          </w:tcPr>
          <w:p w:rsidR="00AD0AB1" w:rsidRPr="007A0579" w:rsidRDefault="00AD0AB1" w:rsidP="00AD0AB1">
            <w:pPr>
              <w:rPr>
                <w:rFonts w:ascii="Verdana" w:eastAsia="Times New Roman" w:hAnsi="Verdana"/>
                <w:sz w:val="20"/>
                <w:szCs w:val="20"/>
                <w:lang w:eastAsia="en-GB"/>
              </w:rPr>
            </w:pPr>
          </w:p>
        </w:tc>
        <w:tc>
          <w:tcPr>
            <w:tcW w:w="1418" w:type="dxa"/>
            <w:tcBorders>
              <w:top w:val="nil"/>
              <w:left w:val="nil"/>
              <w:bottom w:val="nil"/>
              <w:right w:val="nil"/>
            </w:tcBorders>
            <w:shd w:val="clear" w:color="auto" w:fill="auto"/>
            <w:noWrap/>
            <w:vAlign w:val="bottom"/>
            <w:hideMark/>
          </w:tcPr>
          <w:p w:rsidR="00AD0AB1" w:rsidRPr="007A0579" w:rsidRDefault="00AD0AB1" w:rsidP="00AD0AB1">
            <w:pPr>
              <w:rPr>
                <w:rFonts w:ascii="Verdana" w:eastAsia="Times New Roman" w:hAnsi="Verdana"/>
                <w:sz w:val="20"/>
                <w:szCs w:val="20"/>
                <w:lang w:eastAsia="en-GB"/>
              </w:rPr>
            </w:pPr>
          </w:p>
        </w:tc>
        <w:tc>
          <w:tcPr>
            <w:tcW w:w="850" w:type="dxa"/>
            <w:tcBorders>
              <w:top w:val="nil"/>
              <w:left w:val="nil"/>
              <w:bottom w:val="nil"/>
              <w:right w:val="nil"/>
            </w:tcBorders>
            <w:shd w:val="clear" w:color="auto" w:fill="auto"/>
            <w:noWrap/>
            <w:vAlign w:val="bottom"/>
            <w:hideMark/>
          </w:tcPr>
          <w:p w:rsidR="00AD0AB1" w:rsidRPr="007A0579" w:rsidRDefault="00AD0AB1" w:rsidP="00AD0AB1">
            <w:pPr>
              <w:rPr>
                <w:rFonts w:ascii="Verdana" w:eastAsia="Times New Roman" w:hAnsi="Verdana"/>
                <w:sz w:val="20"/>
                <w:szCs w:val="20"/>
                <w:lang w:eastAsia="en-GB"/>
              </w:rPr>
            </w:pPr>
          </w:p>
        </w:tc>
      </w:tr>
      <w:tr w:rsidR="00AD0AB1" w:rsidRPr="007A0579" w:rsidTr="00990762">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AB1" w:rsidRPr="007A0579" w:rsidRDefault="00AD0AB1" w:rsidP="00AD0AB1">
            <w:pPr>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TOTAL</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0AB1" w:rsidRPr="007A0579" w:rsidRDefault="00AD0AB1" w:rsidP="00AD0AB1">
            <w:pPr>
              <w:jc w:val="right"/>
              <w:rPr>
                <w:rFonts w:ascii="Verdana" w:eastAsia="Times New Roman" w:hAnsi="Verdana" w:cs="Arial"/>
                <w:color w:val="000000"/>
                <w:sz w:val="20"/>
                <w:szCs w:val="20"/>
                <w:lang w:eastAsia="en-GB"/>
              </w:rPr>
            </w:pPr>
            <w:r w:rsidRPr="007A0579">
              <w:rPr>
                <w:rFonts w:ascii="Verdana" w:eastAsia="Times New Roman" w:hAnsi="Verdana" w:cs="Arial"/>
                <w:color w:val="000000"/>
                <w:sz w:val="20"/>
                <w:szCs w:val="20"/>
                <w:lang w:eastAsia="en-GB"/>
              </w:rPr>
              <w:t>100%</w:t>
            </w:r>
          </w:p>
        </w:tc>
        <w:tc>
          <w:tcPr>
            <w:tcW w:w="283" w:type="dxa"/>
            <w:tcBorders>
              <w:top w:val="nil"/>
              <w:left w:val="single" w:sz="4" w:space="0" w:color="auto"/>
              <w:bottom w:val="nil"/>
              <w:right w:val="nil"/>
            </w:tcBorders>
            <w:shd w:val="clear" w:color="auto" w:fill="auto"/>
            <w:noWrap/>
            <w:vAlign w:val="bottom"/>
            <w:hideMark/>
          </w:tcPr>
          <w:p w:rsidR="00AD0AB1" w:rsidRPr="007A0579" w:rsidRDefault="00AD0AB1" w:rsidP="00AD0AB1">
            <w:pPr>
              <w:jc w:val="right"/>
              <w:rPr>
                <w:rFonts w:ascii="Verdana" w:eastAsia="Times New Roman" w:hAnsi="Verdana" w:cs="Arial"/>
                <w:color w:val="000000"/>
                <w:sz w:val="20"/>
                <w:szCs w:val="20"/>
                <w:lang w:eastAsia="en-GB"/>
              </w:rPr>
            </w:pPr>
          </w:p>
        </w:tc>
        <w:tc>
          <w:tcPr>
            <w:tcW w:w="1843" w:type="dxa"/>
            <w:tcBorders>
              <w:top w:val="nil"/>
              <w:left w:val="nil"/>
              <w:bottom w:val="nil"/>
              <w:right w:val="nil"/>
            </w:tcBorders>
            <w:shd w:val="clear" w:color="auto" w:fill="auto"/>
            <w:noWrap/>
            <w:vAlign w:val="bottom"/>
            <w:hideMark/>
          </w:tcPr>
          <w:p w:rsidR="00AD0AB1" w:rsidRPr="007A0579" w:rsidRDefault="00AD0AB1" w:rsidP="00AD0AB1">
            <w:pPr>
              <w:rPr>
                <w:rFonts w:ascii="Verdana" w:eastAsia="Times New Roman" w:hAnsi="Verdana"/>
                <w:sz w:val="20"/>
                <w:szCs w:val="20"/>
                <w:lang w:eastAsia="en-GB"/>
              </w:rPr>
            </w:pPr>
          </w:p>
        </w:tc>
        <w:tc>
          <w:tcPr>
            <w:tcW w:w="1418" w:type="dxa"/>
            <w:tcBorders>
              <w:top w:val="nil"/>
              <w:left w:val="nil"/>
              <w:bottom w:val="nil"/>
              <w:right w:val="nil"/>
            </w:tcBorders>
            <w:shd w:val="clear" w:color="auto" w:fill="auto"/>
            <w:noWrap/>
            <w:vAlign w:val="bottom"/>
            <w:hideMark/>
          </w:tcPr>
          <w:p w:rsidR="00AD0AB1" w:rsidRPr="007A0579" w:rsidRDefault="00AD0AB1" w:rsidP="00AD0AB1">
            <w:pPr>
              <w:rPr>
                <w:rFonts w:ascii="Verdana" w:eastAsia="Times New Roman" w:hAnsi="Verdana"/>
                <w:sz w:val="20"/>
                <w:szCs w:val="20"/>
                <w:lang w:eastAsia="en-GB"/>
              </w:rPr>
            </w:pPr>
          </w:p>
        </w:tc>
        <w:tc>
          <w:tcPr>
            <w:tcW w:w="850" w:type="dxa"/>
            <w:tcBorders>
              <w:top w:val="nil"/>
              <w:left w:val="nil"/>
              <w:bottom w:val="nil"/>
              <w:right w:val="nil"/>
            </w:tcBorders>
            <w:shd w:val="clear" w:color="auto" w:fill="auto"/>
            <w:noWrap/>
            <w:vAlign w:val="bottom"/>
            <w:hideMark/>
          </w:tcPr>
          <w:p w:rsidR="00AD0AB1" w:rsidRPr="007A0579" w:rsidRDefault="00AD0AB1" w:rsidP="00AD0AB1">
            <w:pPr>
              <w:rPr>
                <w:rFonts w:ascii="Verdana" w:eastAsia="Times New Roman" w:hAnsi="Verdana"/>
                <w:sz w:val="20"/>
                <w:szCs w:val="20"/>
                <w:lang w:eastAsia="en-GB"/>
              </w:rPr>
            </w:pPr>
          </w:p>
        </w:tc>
      </w:tr>
    </w:tbl>
    <w:p w:rsidR="00F53C91" w:rsidRPr="00E403B4" w:rsidRDefault="00F53C91" w:rsidP="00763A4B">
      <w:pPr>
        <w:widowControl w:val="0"/>
        <w:outlineLvl w:val="0"/>
        <w:rPr>
          <w:rFonts w:ascii="Verdana" w:hAnsi="Verdana"/>
          <w:bCs/>
          <w:color w:val="000000" w:themeColor="text1"/>
          <w:sz w:val="20"/>
          <w:szCs w:val="20"/>
        </w:rPr>
      </w:pPr>
    </w:p>
    <w:p w:rsidR="008C6DA0" w:rsidRPr="00411EC7" w:rsidRDefault="00F53C91" w:rsidP="00B50947">
      <w:pPr>
        <w:widowControl w:val="0"/>
        <w:outlineLvl w:val="0"/>
        <w:rPr>
          <w:rFonts w:ascii="Verdana" w:hAnsi="Verdana"/>
          <w:bCs/>
          <w:color w:val="000000" w:themeColor="text1"/>
          <w:sz w:val="20"/>
          <w:szCs w:val="20"/>
        </w:rPr>
      </w:pPr>
      <w:r w:rsidRPr="00411EC7">
        <w:rPr>
          <w:rFonts w:ascii="Verdana" w:hAnsi="Verdana"/>
          <w:bCs/>
          <w:color w:val="000000" w:themeColor="text1"/>
          <w:sz w:val="20"/>
          <w:szCs w:val="20"/>
        </w:rPr>
        <w:t>More than half of all resolutions (57%) were supported</w:t>
      </w:r>
      <w:r w:rsidR="0025215E" w:rsidRPr="00411EC7">
        <w:rPr>
          <w:rFonts w:ascii="Verdana" w:hAnsi="Verdana"/>
          <w:bCs/>
          <w:color w:val="000000" w:themeColor="text1"/>
          <w:sz w:val="20"/>
          <w:szCs w:val="20"/>
        </w:rPr>
        <w:t xml:space="preserve"> </w:t>
      </w:r>
      <w:r w:rsidR="009E3221" w:rsidRPr="00411EC7">
        <w:rPr>
          <w:rFonts w:ascii="Verdana" w:hAnsi="Verdana"/>
          <w:bCs/>
          <w:color w:val="000000" w:themeColor="text1"/>
          <w:sz w:val="20"/>
          <w:szCs w:val="20"/>
        </w:rPr>
        <w:t>by the Fund</w:t>
      </w:r>
      <w:r w:rsidR="00833F76" w:rsidRPr="00411EC7">
        <w:rPr>
          <w:rFonts w:ascii="Verdana" w:hAnsi="Verdana"/>
          <w:bCs/>
          <w:color w:val="000000" w:themeColor="text1"/>
          <w:sz w:val="20"/>
          <w:szCs w:val="20"/>
        </w:rPr>
        <w:t xml:space="preserve">. </w:t>
      </w:r>
    </w:p>
    <w:p w:rsidR="00411EC7" w:rsidRDefault="00833F76" w:rsidP="00B50947">
      <w:pPr>
        <w:widowControl w:val="0"/>
        <w:outlineLvl w:val="0"/>
        <w:rPr>
          <w:rFonts w:ascii="Verdana" w:hAnsi="Verdana"/>
          <w:bCs/>
          <w:color w:val="000000" w:themeColor="text1"/>
          <w:sz w:val="20"/>
          <w:szCs w:val="20"/>
        </w:rPr>
      </w:pPr>
      <w:r w:rsidRPr="00411EC7">
        <w:rPr>
          <w:rFonts w:ascii="Verdana" w:hAnsi="Verdana"/>
          <w:bCs/>
          <w:color w:val="000000" w:themeColor="text1"/>
          <w:sz w:val="20"/>
          <w:szCs w:val="20"/>
        </w:rPr>
        <w:t xml:space="preserve">Voting against or withholding support for resolutions </w:t>
      </w:r>
      <w:r w:rsidR="009E3221" w:rsidRPr="00411EC7">
        <w:rPr>
          <w:rFonts w:ascii="Verdana" w:hAnsi="Verdana"/>
          <w:bCs/>
          <w:color w:val="000000" w:themeColor="text1"/>
          <w:sz w:val="20"/>
          <w:szCs w:val="20"/>
        </w:rPr>
        <w:t>primarily</w:t>
      </w:r>
      <w:r w:rsidRPr="00411EC7">
        <w:rPr>
          <w:rFonts w:ascii="Verdana" w:hAnsi="Verdana"/>
          <w:bCs/>
          <w:color w:val="000000" w:themeColor="text1"/>
          <w:sz w:val="20"/>
          <w:szCs w:val="20"/>
        </w:rPr>
        <w:t xml:space="preserve"> focussed</w:t>
      </w:r>
      <w:r w:rsidR="009E3221" w:rsidRPr="00411EC7">
        <w:rPr>
          <w:rFonts w:ascii="Verdana" w:hAnsi="Verdana"/>
          <w:bCs/>
          <w:color w:val="000000" w:themeColor="text1"/>
          <w:sz w:val="20"/>
          <w:szCs w:val="20"/>
        </w:rPr>
        <w:t xml:space="preserve"> </w:t>
      </w:r>
      <w:r w:rsidR="00411EC7">
        <w:rPr>
          <w:rFonts w:ascii="Verdana" w:hAnsi="Verdana"/>
          <w:bCs/>
          <w:color w:val="000000" w:themeColor="text1"/>
          <w:sz w:val="20"/>
          <w:szCs w:val="20"/>
        </w:rPr>
        <w:t>on</w:t>
      </w:r>
    </w:p>
    <w:p w:rsidR="00411EC7" w:rsidRPr="00411EC7" w:rsidRDefault="00833F76" w:rsidP="00411EC7">
      <w:pPr>
        <w:pStyle w:val="ListParagraph"/>
        <w:numPr>
          <w:ilvl w:val="0"/>
          <w:numId w:val="15"/>
        </w:numPr>
        <w:outlineLvl w:val="0"/>
        <w:rPr>
          <w:rFonts w:ascii="Verdana" w:hAnsi="Verdana"/>
          <w:bCs/>
          <w:color w:val="000000" w:themeColor="text1"/>
        </w:rPr>
      </w:pPr>
      <w:r w:rsidRPr="00411EC7">
        <w:rPr>
          <w:rFonts w:ascii="Verdana" w:hAnsi="Verdana"/>
          <w:bCs/>
          <w:color w:val="000000" w:themeColor="text1"/>
        </w:rPr>
        <w:t xml:space="preserve">questions of </w:t>
      </w:r>
      <w:r w:rsidR="00411EC7" w:rsidRPr="00411EC7">
        <w:rPr>
          <w:rFonts w:ascii="Verdana" w:hAnsi="Verdana"/>
          <w:bCs/>
          <w:color w:val="000000" w:themeColor="text1"/>
        </w:rPr>
        <w:t>executive remuneration</w:t>
      </w:r>
    </w:p>
    <w:p w:rsidR="00411EC7" w:rsidRPr="00411EC7" w:rsidRDefault="0025215E" w:rsidP="00411EC7">
      <w:pPr>
        <w:pStyle w:val="ListParagraph"/>
        <w:numPr>
          <w:ilvl w:val="0"/>
          <w:numId w:val="15"/>
        </w:numPr>
        <w:outlineLvl w:val="0"/>
        <w:rPr>
          <w:rFonts w:ascii="Verdana" w:hAnsi="Verdana"/>
          <w:bCs/>
          <w:color w:val="000000" w:themeColor="text1"/>
        </w:rPr>
      </w:pPr>
      <w:r w:rsidRPr="00411EC7">
        <w:rPr>
          <w:rFonts w:ascii="Verdana" w:hAnsi="Verdana"/>
          <w:bCs/>
          <w:color w:val="000000" w:themeColor="text1"/>
        </w:rPr>
        <w:t xml:space="preserve">the </w:t>
      </w:r>
      <w:r w:rsidR="009E3221" w:rsidRPr="00411EC7">
        <w:rPr>
          <w:rFonts w:ascii="Verdana" w:hAnsi="Verdana"/>
          <w:bCs/>
          <w:color w:val="000000" w:themeColor="text1"/>
        </w:rPr>
        <w:t>re-</w:t>
      </w:r>
      <w:r w:rsidRPr="00411EC7">
        <w:rPr>
          <w:rFonts w:ascii="Verdana" w:hAnsi="Verdana"/>
          <w:bCs/>
          <w:color w:val="000000" w:themeColor="text1"/>
        </w:rPr>
        <w:t xml:space="preserve">appointment of auditors </w:t>
      </w:r>
      <w:r w:rsidR="00DE07D1" w:rsidRPr="00411EC7">
        <w:rPr>
          <w:rFonts w:ascii="Verdana" w:hAnsi="Verdana"/>
          <w:bCs/>
          <w:color w:val="000000" w:themeColor="text1"/>
        </w:rPr>
        <w:t xml:space="preserve">due to </w:t>
      </w:r>
      <w:r w:rsidR="00411EC7">
        <w:rPr>
          <w:rFonts w:ascii="Verdana" w:hAnsi="Verdana"/>
          <w:bCs/>
          <w:color w:val="000000" w:themeColor="text1"/>
        </w:rPr>
        <w:t>relationships</w:t>
      </w:r>
      <w:r w:rsidR="009E3221" w:rsidRPr="00411EC7">
        <w:rPr>
          <w:rFonts w:ascii="Verdana" w:hAnsi="Verdana"/>
          <w:bCs/>
          <w:color w:val="000000" w:themeColor="text1"/>
        </w:rPr>
        <w:t xml:space="preserve"> </w:t>
      </w:r>
      <w:r w:rsidR="00411EC7">
        <w:rPr>
          <w:rFonts w:ascii="Verdana" w:hAnsi="Verdana"/>
          <w:bCs/>
          <w:color w:val="000000" w:themeColor="text1"/>
        </w:rPr>
        <w:t xml:space="preserve">of </w:t>
      </w:r>
      <w:r w:rsidR="00411EC7" w:rsidRPr="00411EC7">
        <w:rPr>
          <w:rFonts w:ascii="Verdana" w:hAnsi="Verdana"/>
          <w:bCs/>
          <w:color w:val="000000" w:themeColor="text1"/>
        </w:rPr>
        <w:t>long standing</w:t>
      </w:r>
    </w:p>
    <w:p w:rsidR="00411EC7" w:rsidRPr="00411EC7" w:rsidRDefault="00411EC7" w:rsidP="00411EC7">
      <w:pPr>
        <w:pStyle w:val="ListParagraph"/>
        <w:numPr>
          <w:ilvl w:val="0"/>
          <w:numId w:val="15"/>
        </w:numPr>
        <w:outlineLvl w:val="0"/>
        <w:rPr>
          <w:rFonts w:ascii="Verdana" w:hAnsi="Verdana"/>
          <w:bCs/>
          <w:color w:val="000000" w:themeColor="text1"/>
        </w:rPr>
      </w:pPr>
      <w:r>
        <w:rPr>
          <w:rFonts w:ascii="Verdana" w:hAnsi="Verdana"/>
          <w:bCs/>
          <w:color w:val="000000" w:themeColor="text1"/>
        </w:rPr>
        <w:t xml:space="preserve">a </w:t>
      </w:r>
      <w:r w:rsidR="00833F76" w:rsidRPr="00411EC7">
        <w:rPr>
          <w:rFonts w:ascii="Verdana" w:hAnsi="Verdana"/>
          <w:bCs/>
          <w:color w:val="000000" w:themeColor="text1"/>
        </w:rPr>
        <w:t xml:space="preserve">perceived </w:t>
      </w:r>
      <w:r w:rsidR="009E3221" w:rsidRPr="00411EC7">
        <w:rPr>
          <w:rFonts w:ascii="Verdana" w:hAnsi="Verdana"/>
          <w:bCs/>
          <w:color w:val="000000" w:themeColor="text1"/>
        </w:rPr>
        <w:t xml:space="preserve">lack of </w:t>
      </w:r>
      <w:r w:rsidR="0025215E" w:rsidRPr="00411EC7">
        <w:rPr>
          <w:rFonts w:ascii="Verdana" w:hAnsi="Verdana"/>
          <w:bCs/>
          <w:color w:val="000000" w:themeColor="text1"/>
        </w:rPr>
        <w:t xml:space="preserve">independence </w:t>
      </w:r>
      <w:r w:rsidR="008C6DA0" w:rsidRPr="00411EC7">
        <w:rPr>
          <w:rFonts w:ascii="Verdana" w:hAnsi="Verdana"/>
          <w:bCs/>
          <w:color w:val="000000" w:themeColor="text1"/>
        </w:rPr>
        <w:t xml:space="preserve">in </w:t>
      </w:r>
      <w:r w:rsidR="009E3221" w:rsidRPr="00411EC7">
        <w:rPr>
          <w:rFonts w:ascii="Verdana" w:hAnsi="Verdana"/>
          <w:bCs/>
          <w:color w:val="000000" w:themeColor="text1"/>
        </w:rPr>
        <w:t xml:space="preserve">nominated </w:t>
      </w:r>
      <w:r w:rsidR="0025215E" w:rsidRPr="00411EC7">
        <w:rPr>
          <w:rFonts w:ascii="Verdana" w:hAnsi="Verdana"/>
          <w:bCs/>
          <w:color w:val="000000" w:themeColor="text1"/>
        </w:rPr>
        <w:t>Non-Executive Directors</w:t>
      </w:r>
      <w:r w:rsidR="00833F76" w:rsidRPr="00411EC7">
        <w:rPr>
          <w:rFonts w:ascii="Verdana" w:hAnsi="Verdana"/>
          <w:bCs/>
          <w:color w:val="000000" w:themeColor="text1"/>
        </w:rPr>
        <w:t xml:space="preserve"> </w:t>
      </w:r>
      <w:r w:rsidR="003E2FE9" w:rsidRPr="00411EC7">
        <w:rPr>
          <w:rFonts w:ascii="Verdana" w:hAnsi="Verdana"/>
          <w:bCs/>
          <w:color w:val="000000" w:themeColor="text1"/>
        </w:rPr>
        <w:t>(NEDs)</w:t>
      </w:r>
      <w:r w:rsidR="008C6DA0" w:rsidRPr="00411EC7">
        <w:rPr>
          <w:rFonts w:ascii="Verdana" w:hAnsi="Verdana"/>
          <w:bCs/>
          <w:color w:val="000000" w:themeColor="text1"/>
        </w:rPr>
        <w:t xml:space="preserve"> most often</w:t>
      </w:r>
      <w:r w:rsidR="003E2FE9" w:rsidRPr="00411EC7">
        <w:rPr>
          <w:rFonts w:ascii="Verdana" w:hAnsi="Verdana"/>
          <w:bCs/>
          <w:color w:val="000000" w:themeColor="text1"/>
        </w:rPr>
        <w:t xml:space="preserve"> </w:t>
      </w:r>
      <w:r w:rsidR="00833F76" w:rsidRPr="00411EC7">
        <w:rPr>
          <w:rFonts w:ascii="Verdana" w:hAnsi="Verdana"/>
          <w:bCs/>
          <w:color w:val="000000" w:themeColor="text1"/>
        </w:rPr>
        <w:t xml:space="preserve">due to </w:t>
      </w:r>
      <w:r w:rsidR="003E2FE9" w:rsidRPr="00411EC7">
        <w:rPr>
          <w:rFonts w:ascii="Verdana" w:hAnsi="Verdana"/>
          <w:bCs/>
          <w:color w:val="000000" w:themeColor="text1"/>
        </w:rPr>
        <w:t xml:space="preserve">their </w:t>
      </w:r>
      <w:r w:rsidR="00833F76" w:rsidRPr="00411EC7">
        <w:rPr>
          <w:rFonts w:ascii="Verdana" w:hAnsi="Verdana"/>
          <w:bCs/>
          <w:color w:val="000000" w:themeColor="text1"/>
        </w:rPr>
        <w:t>length of tenure</w:t>
      </w:r>
      <w:r w:rsidR="003E2FE9" w:rsidRPr="00411EC7">
        <w:rPr>
          <w:rFonts w:ascii="Verdana" w:hAnsi="Verdana"/>
          <w:bCs/>
          <w:color w:val="000000" w:themeColor="text1"/>
        </w:rPr>
        <w:t xml:space="preserve">. </w:t>
      </w:r>
    </w:p>
    <w:p w:rsidR="00763A4B" w:rsidRPr="00411EC7" w:rsidRDefault="003E2FE9" w:rsidP="00B50947">
      <w:pPr>
        <w:widowControl w:val="0"/>
        <w:outlineLvl w:val="0"/>
        <w:rPr>
          <w:rFonts w:ascii="Verdana" w:hAnsi="Verdana"/>
          <w:bCs/>
          <w:color w:val="000000" w:themeColor="text1"/>
          <w:sz w:val="20"/>
          <w:szCs w:val="20"/>
        </w:rPr>
      </w:pPr>
      <w:r w:rsidRPr="00411EC7">
        <w:rPr>
          <w:rFonts w:ascii="Verdana" w:hAnsi="Verdana"/>
          <w:bCs/>
          <w:color w:val="000000" w:themeColor="text1"/>
          <w:sz w:val="20"/>
          <w:szCs w:val="20"/>
        </w:rPr>
        <w:t>The Fund also opposed the nomination of NEDs</w:t>
      </w:r>
      <w:r w:rsidR="00833F76" w:rsidRPr="00411EC7">
        <w:rPr>
          <w:rFonts w:ascii="Verdana" w:hAnsi="Verdana"/>
          <w:bCs/>
          <w:color w:val="000000" w:themeColor="text1"/>
          <w:sz w:val="20"/>
          <w:szCs w:val="20"/>
        </w:rPr>
        <w:t xml:space="preserve"> </w:t>
      </w:r>
      <w:r w:rsidRPr="00411EC7">
        <w:rPr>
          <w:rFonts w:ascii="Verdana" w:hAnsi="Verdana"/>
          <w:bCs/>
          <w:color w:val="000000" w:themeColor="text1"/>
          <w:sz w:val="20"/>
          <w:szCs w:val="20"/>
        </w:rPr>
        <w:t>where individuals were known to be</w:t>
      </w:r>
      <w:r w:rsidR="00833F76" w:rsidRPr="00411EC7">
        <w:rPr>
          <w:rFonts w:ascii="Verdana" w:hAnsi="Verdana"/>
          <w:bCs/>
          <w:color w:val="000000" w:themeColor="text1"/>
          <w:sz w:val="20"/>
          <w:szCs w:val="20"/>
        </w:rPr>
        <w:t xml:space="preserve"> simultaneously fulfilling multiple other </w:t>
      </w:r>
      <w:r w:rsidRPr="00411EC7">
        <w:rPr>
          <w:rFonts w:ascii="Verdana" w:hAnsi="Verdana"/>
          <w:bCs/>
          <w:color w:val="000000" w:themeColor="text1"/>
          <w:sz w:val="20"/>
          <w:szCs w:val="20"/>
        </w:rPr>
        <w:t xml:space="preserve">directorships and </w:t>
      </w:r>
      <w:r w:rsidR="008C6DA0" w:rsidRPr="00411EC7">
        <w:rPr>
          <w:rFonts w:ascii="Verdana" w:hAnsi="Verdana"/>
          <w:bCs/>
          <w:color w:val="000000" w:themeColor="text1"/>
          <w:sz w:val="20"/>
          <w:szCs w:val="20"/>
        </w:rPr>
        <w:t xml:space="preserve">were </w:t>
      </w:r>
      <w:r w:rsidRPr="00411EC7">
        <w:rPr>
          <w:rFonts w:ascii="Verdana" w:hAnsi="Verdana"/>
          <w:bCs/>
          <w:color w:val="000000" w:themeColor="text1"/>
          <w:sz w:val="20"/>
          <w:szCs w:val="20"/>
        </w:rPr>
        <w:t xml:space="preserve">unlikely to be able to </w:t>
      </w:r>
      <w:r w:rsidR="004C4754" w:rsidRPr="00411EC7">
        <w:rPr>
          <w:rFonts w:ascii="Verdana" w:hAnsi="Verdana"/>
          <w:bCs/>
          <w:color w:val="000000" w:themeColor="text1"/>
          <w:sz w:val="20"/>
          <w:szCs w:val="20"/>
        </w:rPr>
        <w:t xml:space="preserve">give matters sufficient undiluted </w:t>
      </w:r>
      <w:r w:rsidR="00411EC7">
        <w:rPr>
          <w:rFonts w:ascii="Verdana" w:hAnsi="Verdana"/>
          <w:bCs/>
          <w:color w:val="000000" w:themeColor="text1"/>
          <w:sz w:val="20"/>
          <w:szCs w:val="20"/>
        </w:rPr>
        <w:t xml:space="preserve">time and </w:t>
      </w:r>
      <w:r w:rsidR="004C4754" w:rsidRPr="00411EC7">
        <w:rPr>
          <w:rFonts w:ascii="Verdana" w:hAnsi="Verdana"/>
          <w:bCs/>
          <w:color w:val="000000" w:themeColor="text1"/>
          <w:sz w:val="20"/>
          <w:szCs w:val="20"/>
        </w:rPr>
        <w:t>attention</w:t>
      </w:r>
      <w:r w:rsidRPr="00411EC7">
        <w:rPr>
          <w:rFonts w:ascii="Verdana" w:hAnsi="Verdana"/>
          <w:bCs/>
          <w:color w:val="000000" w:themeColor="text1"/>
          <w:sz w:val="20"/>
          <w:szCs w:val="20"/>
        </w:rPr>
        <w:t>.</w:t>
      </w:r>
    </w:p>
    <w:p w:rsidR="0028114B" w:rsidRPr="00411EC7" w:rsidRDefault="0028114B" w:rsidP="00574C33">
      <w:pPr>
        <w:rPr>
          <w:rFonts w:ascii="Verdana" w:hAnsi="Verdana" w:cs="TT3B97o00"/>
          <w:color w:val="000000" w:themeColor="text1"/>
          <w:sz w:val="20"/>
          <w:szCs w:val="20"/>
        </w:rPr>
      </w:pPr>
    </w:p>
    <w:p w:rsidR="00DE07D1" w:rsidRPr="00411EC7" w:rsidRDefault="00DE07D1" w:rsidP="00DE07D1">
      <w:pPr>
        <w:autoSpaceDE w:val="0"/>
        <w:autoSpaceDN w:val="0"/>
        <w:adjustRightInd w:val="0"/>
        <w:rPr>
          <w:rFonts w:ascii="Verdana" w:hAnsi="Verdana" w:cs="NimbusSanL-Regu"/>
          <w:color w:val="000000" w:themeColor="text1"/>
          <w:sz w:val="20"/>
          <w:szCs w:val="20"/>
        </w:rPr>
      </w:pPr>
      <w:r w:rsidRPr="00411EC7">
        <w:rPr>
          <w:rFonts w:ascii="Verdana" w:hAnsi="Verdana" w:cs="NimbusSanL-Bold"/>
          <w:bCs/>
          <w:color w:val="000000" w:themeColor="text1"/>
          <w:sz w:val="20"/>
          <w:szCs w:val="20"/>
        </w:rPr>
        <w:t xml:space="preserve">At the WH Smith Plc AGM the Fund opposed the Remuneration Report due to </w:t>
      </w:r>
      <w:r w:rsidRPr="00411EC7">
        <w:rPr>
          <w:rFonts w:ascii="Verdana" w:hAnsi="Verdana" w:cs="NimbusSanL-Regu"/>
          <w:color w:val="000000" w:themeColor="text1"/>
          <w:sz w:val="20"/>
          <w:szCs w:val="20"/>
        </w:rPr>
        <w:t xml:space="preserve">significant concerns over the excessiveness of CEO remuneration. Whilst the level of fixed pay did not raise major concerns, variable pay for the year under review amounted to 690% of salary which is considered highly excessive. Changes in CEO pay over the last five years </w:t>
      </w:r>
      <w:r w:rsidR="00411EC7">
        <w:rPr>
          <w:rFonts w:ascii="Verdana" w:hAnsi="Verdana" w:cs="NimbusSanL-Regu"/>
          <w:color w:val="000000" w:themeColor="text1"/>
          <w:sz w:val="20"/>
          <w:szCs w:val="20"/>
        </w:rPr>
        <w:t>do</w:t>
      </w:r>
      <w:r w:rsidRPr="00411EC7">
        <w:rPr>
          <w:rFonts w:ascii="Verdana" w:hAnsi="Verdana" w:cs="NimbusSanL-Regu"/>
          <w:color w:val="000000" w:themeColor="text1"/>
          <w:sz w:val="20"/>
          <w:szCs w:val="20"/>
        </w:rPr>
        <w:t xml:space="preserve"> not </w:t>
      </w:r>
      <w:r w:rsidR="00411EC7">
        <w:rPr>
          <w:rFonts w:ascii="Verdana" w:hAnsi="Verdana" w:cs="NimbusSanL-Regu"/>
          <w:color w:val="000000" w:themeColor="text1"/>
          <w:sz w:val="20"/>
          <w:szCs w:val="20"/>
        </w:rPr>
        <w:t>a</w:t>
      </w:r>
      <w:r w:rsidRPr="00411EC7">
        <w:rPr>
          <w:rFonts w:ascii="Verdana" w:hAnsi="Verdana" w:cs="NimbusSanL-Regu"/>
          <w:color w:val="000000" w:themeColor="text1"/>
          <w:sz w:val="20"/>
          <w:szCs w:val="20"/>
        </w:rPr>
        <w:t>li</w:t>
      </w:r>
      <w:r w:rsidR="00411EC7">
        <w:rPr>
          <w:rFonts w:ascii="Verdana" w:hAnsi="Verdana" w:cs="NimbusSanL-Regu"/>
          <w:color w:val="000000" w:themeColor="text1"/>
          <w:sz w:val="20"/>
          <w:szCs w:val="20"/>
        </w:rPr>
        <w:t>gn</w:t>
      </w:r>
      <w:r w:rsidRPr="00411EC7">
        <w:rPr>
          <w:rFonts w:ascii="Verdana" w:hAnsi="Verdana" w:cs="NimbusSanL-Regu"/>
          <w:color w:val="000000" w:themeColor="text1"/>
          <w:sz w:val="20"/>
          <w:szCs w:val="20"/>
        </w:rPr>
        <w:t xml:space="preserve"> with </w:t>
      </w:r>
      <w:r w:rsidR="00411EC7">
        <w:rPr>
          <w:rFonts w:ascii="Verdana" w:hAnsi="Verdana" w:cs="NimbusSanL-Regu"/>
          <w:color w:val="000000" w:themeColor="text1"/>
          <w:sz w:val="20"/>
          <w:szCs w:val="20"/>
        </w:rPr>
        <w:t xml:space="preserve">the </w:t>
      </w:r>
      <w:r w:rsidRPr="00411EC7">
        <w:rPr>
          <w:rFonts w:ascii="Verdana" w:hAnsi="Verdana" w:cs="NimbusSanL-Regu"/>
          <w:color w:val="000000" w:themeColor="text1"/>
          <w:sz w:val="20"/>
          <w:szCs w:val="20"/>
        </w:rPr>
        <w:t>Company’s financial performance over the same period and the ratio of CEO pay compared to the average employee pay is highly excessive at 106:1.</w:t>
      </w:r>
    </w:p>
    <w:p w:rsidR="00DE07D1" w:rsidRPr="00411EC7" w:rsidRDefault="00DE07D1" w:rsidP="00EA7A19">
      <w:pPr>
        <w:autoSpaceDE w:val="0"/>
        <w:autoSpaceDN w:val="0"/>
        <w:adjustRightInd w:val="0"/>
        <w:rPr>
          <w:rFonts w:ascii="Verdana" w:hAnsi="Verdana" w:cs="NimbusSanL-Regu"/>
          <w:color w:val="000000" w:themeColor="text1"/>
          <w:sz w:val="20"/>
          <w:szCs w:val="20"/>
        </w:rPr>
      </w:pPr>
      <w:r w:rsidRPr="00411EC7">
        <w:rPr>
          <w:rFonts w:ascii="Verdana" w:hAnsi="Verdana" w:cs="NimbusSanL-Regu"/>
          <w:color w:val="000000" w:themeColor="text1"/>
          <w:sz w:val="20"/>
          <w:szCs w:val="20"/>
        </w:rPr>
        <w:t xml:space="preserve">The Fund also opposed the Remuneration Policy reflecting that maximum potential awards under all incentive schemes are considered highly excessive, there are </w:t>
      </w:r>
      <w:r w:rsidR="00EA7A19" w:rsidRPr="00411EC7">
        <w:rPr>
          <w:rFonts w:ascii="Verdana" w:hAnsi="Verdana" w:cs="NimbusSanL-Regu"/>
          <w:color w:val="000000" w:themeColor="text1"/>
          <w:sz w:val="20"/>
          <w:szCs w:val="20"/>
        </w:rPr>
        <w:t xml:space="preserve">no </w:t>
      </w:r>
      <w:r w:rsidRPr="00411EC7">
        <w:rPr>
          <w:rFonts w:ascii="Verdana" w:hAnsi="Verdana" w:cs="NimbusSanL-Regu"/>
          <w:color w:val="000000" w:themeColor="text1"/>
          <w:sz w:val="20"/>
          <w:szCs w:val="20"/>
        </w:rPr>
        <w:t xml:space="preserve">schemes available to enable employees to benefit from business success unless they </w:t>
      </w:r>
      <w:r w:rsidRPr="00411EC7">
        <w:rPr>
          <w:rFonts w:ascii="Verdana" w:hAnsi="Verdana" w:cs="NimbusSanL-Regu"/>
          <w:color w:val="000000" w:themeColor="text1"/>
          <w:sz w:val="20"/>
          <w:szCs w:val="20"/>
        </w:rPr>
        <w:lastRenderedPageBreak/>
        <w:t>pu</w:t>
      </w:r>
      <w:r w:rsidR="00EA7A19" w:rsidRPr="00411EC7">
        <w:rPr>
          <w:rFonts w:ascii="Verdana" w:hAnsi="Verdana" w:cs="NimbusSanL-Regu"/>
          <w:color w:val="000000" w:themeColor="text1"/>
          <w:sz w:val="20"/>
          <w:szCs w:val="20"/>
        </w:rPr>
        <w:t xml:space="preserve">rchase shares and the Long-Term </w:t>
      </w:r>
      <w:r w:rsidRPr="00411EC7">
        <w:rPr>
          <w:rFonts w:ascii="Verdana" w:hAnsi="Verdana" w:cs="NimbusSanL-Regu"/>
          <w:color w:val="000000" w:themeColor="text1"/>
          <w:sz w:val="20"/>
          <w:szCs w:val="20"/>
        </w:rPr>
        <w:t>Incentive Plan (LTIP) contains no non-financial performance conditions</w:t>
      </w:r>
      <w:r w:rsidR="00EA7A19" w:rsidRPr="00411EC7">
        <w:rPr>
          <w:rFonts w:ascii="Verdana" w:hAnsi="Verdana" w:cs="NimbusSanL-Regu"/>
          <w:color w:val="000000" w:themeColor="text1"/>
          <w:sz w:val="20"/>
          <w:szCs w:val="20"/>
        </w:rPr>
        <w:t>.</w:t>
      </w:r>
      <w:r w:rsidRPr="00411EC7">
        <w:rPr>
          <w:rFonts w:ascii="Verdana" w:hAnsi="Verdana" w:cs="NimbusSanL-Regu"/>
          <w:color w:val="000000" w:themeColor="text1"/>
          <w:sz w:val="20"/>
          <w:szCs w:val="20"/>
        </w:rPr>
        <w:t xml:space="preserve"> </w:t>
      </w:r>
    </w:p>
    <w:p w:rsidR="00DE07D1" w:rsidRPr="00411EC7" w:rsidRDefault="00DE07D1" w:rsidP="00DE07D1">
      <w:pPr>
        <w:autoSpaceDE w:val="0"/>
        <w:autoSpaceDN w:val="0"/>
        <w:adjustRightInd w:val="0"/>
        <w:rPr>
          <w:rFonts w:ascii="Verdana" w:hAnsi="Verdana" w:cs="NimbusSanL-Regu"/>
          <w:color w:val="000000" w:themeColor="text1"/>
          <w:sz w:val="20"/>
          <w:szCs w:val="20"/>
        </w:rPr>
      </w:pPr>
    </w:p>
    <w:p w:rsidR="00EA7A19" w:rsidRPr="00411EC7" w:rsidRDefault="00EA7A19" w:rsidP="00DE07D1">
      <w:pPr>
        <w:autoSpaceDE w:val="0"/>
        <w:autoSpaceDN w:val="0"/>
        <w:adjustRightInd w:val="0"/>
        <w:rPr>
          <w:rFonts w:ascii="Verdana" w:hAnsi="Verdana" w:cs="NimbusSanL-Regu"/>
          <w:color w:val="000000" w:themeColor="text1"/>
          <w:sz w:val="20"/>
          <w:szCs w:val="20"/>
        </w:rPr>
      </w:pPr>
      <w:r w:rsidRPr="00411EC7">
        <w:rPr>
          <w:rFonts w:ascii="Verdana" w:hAnsi="Verdana" w:cs="NimbusSanL-Regu"/>
          <w:color w:val="000000" w:themeColor="text1"/>
          <w:sz w:val="20"/>
          <w:szCs w:val="20"/>
        </w:rPr>
        <w:t>The Pensions and Lifetime Savings Association current</w:t>
      </w:r>
      <w:r w:rsidR="00411EC7" w:rsidRPr="00411EC7">
        <w:rPr>
          <w:rFonts w:ascii="Verdana" w:hAnsi="Verdana" w:cs="NimbusSanL-Regu"/>
          <w:color w:val="000000" w:themeColor="text1"/>
          <w:sz w:val="20"/>
          <w:szCs w:val="20"/>
        </w:rPr>
        <w:t>ly</w:t>
      </w:r>
      <w:r w:rsidRPr="00411EC7">
        <w:rPr>
          <w:rFonts w:ascii="Verdana" w:hAnsi="Verdana" w:cs="NimbusSanL-Regu"/>
          <w:color w:val="000000" w:themeColor="text1"/>
          <w:sz w:val="20"/>
          <w:szCs w:val="20"/>
        </w:rPr>
        <w:t xml:space="preserve"> </w:t>
      </w:r>
      <w:r w:rsidR="00411EC7" w:rsidRPr="00411EC7">
        <w:rPr>
          <w:rFonts w:ascii="Verdana" w:hAnsi="Verdana" w:cs="NimbusSanL-Regu"/>
          <w:color w:val="000000" w:themeColor="text1"/>
          <w:sz w:val="20"/>
          <w:szCs w:val="20"/>
        </w:rPr>
        <w:t xml:space="preserve">has an </w:t>
      </w:r>
      <w:r w:rsidRPr="00411EC7">
        <w:rPr>
          <w:rFonts w:ascii="Verdana" w:hAnsi="Verdana" w:cs="NimbusSanL-Regu"/>
          <w:color w:val="000000" w:themeColor="text1"/>
          <w:sz w:val="20"/>
          <w:szCs w:val="20"/>
        </w:rPr>
        <w:t>initiative focussed on executive remuneration</w:t>
      </w:r>
      <w:r w:rsidR="00E403B4" w:rsidRPr="00411EC7">
        <w:rPr>
          <w:rFonts w:ascii="Verdana" w:hAnsi="Verdana" w:cs="NimbusSanL-Regu"/>
          <w:color w:val="000000" w:themeColor="text1"/>
          <w:sz w:val="20"/>
          <w:szCs w:val="20"/>
        </w:rPr>
        <w:t>. Research underway will</w:t>
      </w:r>
      <w:r w:rsidRPr="00411EC7">
        <w:rPr>
          <w:rFonts w:ascii="Verdana" w:hAnsi="Verdana" w:cs="NimbusSanL-Regu"/>
          <w:color w:val="000000" w:themeColor="text1"/>
          <w:sz w:val="20"/>
          <w:szCs w:val="20"/>
        </w:rPr>
        <w:t xml:space="preserve"> </w:t>
      </w:r>
      <w:r w:rsidR="00E403B4" w:rsidRPr="00411EC7">
        <w:rPr>
          <w:rFonts w:ascii="Verdana" w:hAnsi="Verdana" w:cs="NimbusSanL-Regu"/>
          <w:color w:val="000000" w:themeColor="text1"/>
          <w:sz w:val="20"/>
          <w:szCs w:val="20"/>
        </w:rPr>
        <w:t>result in guidance designed to assist and encourage asset owners to use their voting rights to influence companies to adopt Long Term Incentive Plans which better align with the interests of shareholders</w:t>
      </w:r>
      <w:r w:rsidR="00411EC7">
        <w:rPr>
          <w:rFonts w:ascii="Verdana" w:hAnsi="Verdana" w:cs="NimbusSanL-Regu"/>
          <w:color w:val="000000" w:themeColor="text1"/>
          <w:sz w:val="20"/>
          <w:szCs w:val="20"/>
        </w:rPr>
        <w:t xml:space="preserve"> by</w:t>
      </w:r>
      <w:r w:rsidR="00E403B4" w:rsidRPr="00411EC7">
        <w:rPr>
          <w:rFonts w:ascii="Verdana" w:hAnsi="Verdana" w:cs="NimbusSanL-Regu"/>
          <w:color w:val="000000" w:themeColor="text1"/>
          <w:sz w:val="20"/>
          <w:szCs w:val="20"/>
        </w:rPr>
        <w:t xml:space="preserve"> producing financial incentives for strong performance </w:t>
      </w:r>
      <w:r w:rsidR="00411EC7">
        <w:rPr>
          <w:rFonts w:ascii="Verdana" w:hAnsi="Verdana" w:cs="NimbusSanL-Regu"/>
          <w:color w:val="000000" w:themeColor="text1"/>
          <w:sz w:val="20"/>
          <w:szCs w:val="20"/>
        </w:rPr>
        <w:t xml:space="preserve">measured </w:t>
      </w:r>
      <w:r w:rsidR="00E403B4" w:rsidRPr="00411EC7">
        <w:rPr>
          <w:rFonts w:ascii="Verdana" w:hAnsi="Verdana" w:cs="NimbusSanL-Regu"/>
          <w:color w:val="000000" w:themeColor="text1"/>
          <w:sz w:val="20"/>
          <w:szCs w:val="20"/>
        </w:rPr>
        <w:t xml:space="preserve">against financial and non-financial indicators of </w:t>
      </w:r>
      <w:r w:rsidR="00AD3A07" w:rsidRPr="00411EC7">
        <w:rPr>
          <w:rFonts w:ascii="Verdana" w:hAnsi="Verdana" w:cs="NimbusSanL-Regu"/>
          <w:color w:val="000000" w:themeColor="text1"/>
          <w:sz w:val="20"/>
          <w:szCs w:val="20"/>
        </w:rPr>
        <w:t xml:space="preserve">both </w:t>
      </w:r>
      <w:r w:rsidR="00E403B4" w:rsidRPr="00411EC7">
        <w:rPr>
          <w:rFonts w:ascii="Verdana" w:hAnsi="Verdana" w:cs="NimbusSanL-Regu"/>
          <w:color w:val="000000" w:themeColor="text1"/>
          <w:sz w:val="20"/>
          <w:szCs w:val="20"/>
        </w:rPr>
        <w:t>company and individual performance</w:t>
      </w:r>
      <w:r w:rsidR="00AD3A07" w:rsidRPr="00411EC7">
        <w:rPr>
          <w:rFonts w:ascii="Verdana" w:hAnsi="Verdana" w:cs="NimbusSanL-Regu"/>
          <w:color w:val="000000" w:themeColor="text1"/>
          <w:sz w:val="20"/>
          <w:szCs w:val="20"/>
        </w:rPr>
        <w:t>,</w:t>
      </w:r>
      <w:r w:rsidR="00E403B4" w:rsidRPr="00411EC7">
        <w:rPr>
          <w:rFonts w:ascii="Verdana" w:hAnsi="Verdana" w:cs="NimbusSanL-Regu"/>
          <w:color w:val="000000" w:themeColor="text1"/>
          <w:sz w:val="20"/>
          <w:szCs w:val="20"/>
        </w:rPr>
        <w:t xml:space="preserve"> assessed over a sufficient time period.</w:t>
      </w:r>
      <w:r w:rsidR="00913FF8">
        <w:rPr>
          <w:rFonts w:ascii="Verdana" w:hAnsi="Verdana" w:cs="NimbusSanL-Regu"/>
          <w:color w:val="000000" w:themeColor="text1"/>
          <w:sz w:val="20"/>
          <w:szCs w:val="20"/>
        </w:rPr>
        <w:t xml:space="preserve"> LPP I will review the guidance once produced with a view to incorporating best practice into its voting approach.</w:t>
      </w:r>
    </w:p>
    <w:p w:rsidR="00EA7A19" w:rsidRPr="00DE07D1" w:rsidRDefault="00EA7A19" w:rsidP="00DE07D1">
      <w:pPr>
        <w:autoSpaceDE w:val="0"/>
        <w:autoSpaceDN w:val="0"/>
        <w:adjustRightInd w:val="0"/>
        <w:rPr>
          <w:rFonts w:ascii="NimbusSanL-Regu" w:hAnsi="NimbusSanL-Regu" w:cs="NimbusSanL-Regu"/>
          <w:color w:val="323232"/>
          <w:sz w:val="20"/>
          <w:szCs w:val="20"/>
        </w:rPr>
      </w:pPr>
    </w:p>
    <w:p w:rsidR="00574C33" w:rsidRPr="007A0579" w:rsidRDefault="00574C33" w:rsidP="009E3221">
      <w:pPr>
        <w:pStyle w:val="ListParagraph"/>
        <w:numPr>
          <w:ilvl w:val="0"/>
          <w:numId w:val="4"/>
        </w:numPr>
        <w:ind w:hanging="720"/>
        <w:rPr>
          <w:rFonts w:ascii="Verdana" w:hAnsi="Verdana"/>
          <w:color w:val="000000"/>
        </w:rPr>
      </w:pPr>
      <w:r w:rsidRPr="007A0579">
        <w:rPr>
          <w:rFonts w:ascii="Verdana" w:hAnsi="Verdana"/>
          <w:color w:val="000000"/>
        </w:rPr>
        <w:t>E</w:t>
      </w:r>
      <w:r w:rsidR="00ED7A01" w:rsidRPr="007A0579">
        <w:rPr>
          <w:rFonts w:ascii="Verdana" w:hAnsi="Verdana"/>
          <w:color w:val="000000"/>
        </w:rPr>
        <w:t xml:space="preserve">ngagement </w:t>
      </w:r>
      <w:r w:rsidRPr="007A0579">
        <w:rPr>
          <w:rFonts w:ascii="Verdana" w:hAnsi="Verdana"/>
          <w:color w:val="000000"/>
        </w:rPr>
        <w:t>through Partnerships</w:t>
      </w:r>
    </w:p>
    <w:p w:rsidR="00990762" w:rsidRPr="007A0579" w:rsidRDefault="00990762" w:rsidP="00990762">
      <w:pPr>
        <w:rPr>
          <w:rFonts w:ascii="Verdana" w:hAnsi="Verdana"/>
          <w:bCs/>
          <w:color w:val="000000" w:themeColor="text1"/>
          <w:sz w:val="20"/>
          <w:szCs w:val="20"/>
        </w:rPr>
      </w:pPr>
    </w:p>
    <w:p w:rsidR="00AE0802" w:rsidRPr="007A0579" w:rsidRDefault="00990762" w:rsidP="00990762">
      <w:pPr>
        <w:rPr>
          <w:rFonts w:ascii="Verdana" w:hAnsi="Verdana"/>
          <w:bCs/>
          <w:color w:val="000000" w:themeColor="text1"/>
          <w:sz w:val="20"/>
          <w:szCs w:val="20"/>
        </w:rPr>
      </w:pPr>
      <w:r w:rsidRPr="007A0579">
        <w:rPr>
          <w:rFonts w:ascii="Verdana" w:hAnsi="Verdana"/>
          <w:bCs/>
          <w:color w:val="000000" w:themeColor="text1"/>
          <w:sz w:val="20"/>
          <w:szCs w:val="20"/>
        </w:rPr>
        <w:t xml:space="preserve">The Fund's engagement activities </w:t>
      </w:r>
      <w:r w:rsidR="00B50947" w:rsidRPr="007A0579">
        <w:rPr>
          <w:rFonts w:ascii="Verdana" w:hAnsi="Verdana"/>
          <w:bCs/>
          <w:color w:val="000000" w:themeColor="text1"/>
          <w:sz w:val="20"/>
          <w:szCs w:val="20"/>
        </w:rPr>
        <w:t xml:space="preserve">principally </w:t>
      </w:r>
      <w:r w:rsidR="009E3221" w:rsidRPr="007A0579">
        <w:rPr>
          <w:rFonts w:ascii="Verdana" w:hAnsi="Verdana"/>
          <w:bCs/>
          <w:color w:val="000000" w:themeColor="text1"/>
          <w:sz w:val="20"/>
          <w:szCs w:val="20"/>
        </w:rPr>
        <w:t>operate through</w:t>
      </w:r>
      <w:r w:rsidRPr="007A0579">
        <w:rPr>
          <w:rFonts w:ascii="Verdana" w:hAnsi="Verdana"/>
          <w:bCs/>
          <w:color w:val="000000" w:themeColor="text1"/>
          <w:sz w:val="20"/>
          <w:szCs w:val="20"/>
        </w:rPr>
        <w:t xml:space="preserve"> direct relat</w:t>
      </w:r>
      <w:r w:rsidR="00411EC7">
        <w:rPr>
          <w:rFonts w:ascii="Verdana" w:hAnsi="Verdana"/>
          <w:bCs/>
          <w:color w:val="000000" w:themeColor="text1"/>
          <w:sz w:val="20"/>
          <w:szCs w:val="20"/>
        </w:rPr>
        <w:t>ionships between Fund Managers/</w:t>
      </w:r>
      <w:r w:rsidRPr="007A0579">
        <w:rPr>
          <w:rFonts w:ascii="Verdana" w:hAnsi="Verdana"/>
          <w:bCs/>
          <w:color w:val="000000" w:themeColor="text1"/>
          <w:sz w:val="20"/>
          <w:szCs w:val="20"/>
        </w:rPr>
        <w:t>Investment Managers and investee companies</w:t>
      </w:r>
      <w:r w:rsidR="003E2FE9" w:rsidRPr="007A0579">
        <w:rPr>
          <w:rFonts w:ascii="Verdana" w:hAnsi="Verdana"/>
          <w:bCs/>
          <w:color w:val="000000" w:themeColor="text1"/>
          <w:sz w:val="20"/>
          <w:szCs w:val="20"/>
        </w:rPr>
        <w:t xml:space="preserve"> with ongoing efforts focused on supporting companies to be well run, resilient and </w:t>
      </w:r>
      <w:r w:rsidR="00C6350D">
        <w:rPr>
          <w:rFonts w:ascii="Verdana" w:hAnsi="Verdana"/>
          <w:bCs/>
          <w:color w:val="000000" w:themeColor="text1"/>
          <w:sz w:val="20"/>
          <w:szCs w:val="20"/>
        </w:rPr>
        <w:t xml:space="preserve">incorporating </w:t>
      </w:r>
      <w:r w:rsidR="003E2FE9" w:rsidRPr="007A0579">
        <w:rPr>
          <w:rFonts w:ascii="Verdana" w:hAnsi="Verdana"/>
          <w:bCs/>
          <w:color w:val="000000" w:themeColor="text1"/>
          <w:sz w:val="20"/>
          <w:szCs w:val="20"/>
        </w:rPr>
        <w:t>high standards of corporate governance</w:t>
      </w:r>
      <w:r w:rsidR="007A0579">
        <w:rPr>
          <w:rFonts w:ascii="Verdana" w:hAnsi="Verdana"/>
          <w:bCs/>
          <w:color w:val="000000" w:themeColor="text1"/>
          <w:sz w:val="20"/>
          <w:szCs w:val="20"/>
        </w:rPr>
        <w:t>.</w:t>
      </w:r>
      <w:r w:rsidR="001E1380" w:rsidRPr="007A0579">
        <w:rPr>
          <w:rFonts w:ascii="Verdana" w:hAnsi="Verdana"/>
          <w:bCs/>
          <w:color w:val="000000" w:themeColor="text1"/>
          <w:sz w:val="20"/>
          <w:szCs w:val="20"/>
        </w:rPr>
        <w:t xml:space="preserve"> </w:t>
      </w:r>
    </w:p>
    <w:p w:rsidR="00AE0802" w:rsidRPr="007A0579" w:rsidRDefault="00AE0802" w:rsidP="00990762">
      <w:pPr>
        <w:rPr>
          <w:rFonts w:ascii="Verdana" w:hAnsi="Verdana"/>
          <w:bCs/>
          <w:color w:val="000000" w:themeColor="text1"/>
          <w:sz w:val="20"/>
          <w:szCs w:val="20"/>
        </w:rPr>
      </w:pPr>
    </w:p>
    <w:p w:rsidR="001E1380" w:rsidRPr="007A0579" w:rsidRDefault="001E1380" w:rsidP="001E1380">
      <w:pPr>
        <w:rPr>
          <w:rFonts w:ascii="Verdana" w:hAnsi="Verdana"/>
          <w:bCs/>
          <w:color w:val="000000" w:themeColor="text1"/>
          <w:sz w:val="20"/>
          <w:szCs w:val="20"/>
        </w:rPr>
      </w:pPr>
      <w:r w:rsidRPr="007A0579">
        <w:rPr>
          <w:rFonts w:ascii="Verdana" w:hAnsi="Verdana"/>
          <w:bCs/>
          <w:color w:val="000000" w:themeColor="text1"/>
          <w:sz w:val="20"/>
          <w:szCs w:val="20"/>
        </w:rPr>
        <w:t>W</w:t>
      </w:r>
      <w:r w:rsidR="00B50947" w:rsidRPr="007A0579">
        <w:rPr>
          <w:rFonts w:ascii="Verdana" w:hAnsi="Verdana"/>
          <w:bCs/>
          <w:color w:val="000000" w:themeColor="text1"/>
          <w:sz w:val="20"/>
          <w:szCs w:val="20"/>
        </w:rPr>
        <w:t xml:space="preserve">ider engagement efforts </w:t>
      </w:r>
      <w:r w:rsidR="003E2FE9" w:rsidRPr="007A0579">
        <w:rPr>
          <w:rFonts w:ascii="Verdana" w:hAnsi="Verdana"/>
          <w:bCs/>
          <w:color w:val="000000" w:themeColor="text1"/>
          <w:sz w:val="20"/>
          <w:szCs w:val="20"/>
        </w:rPr>
        <w:t xml:space="preserve">feature </w:t>
      </w:r>
      <w:r w:rsidR="00B50947" w:rsidRPr="007A0579">
        <w:rPr>
          <w:rFonts w:ascii="Verdana" w:hAnsi="Verdana"/>
          <w:bCs/>
          <w:color w:val="000000" w:themeColor="text1"/>
          <w:sz w:val="20"/>
          <w:szCs w:val="20"/>
        </w:rPr>
        <w:t xml:space="preserve">membership of </w:t>
      </w:r>
      <w:r w:rsidR="00990762" w:rsidRPr="007A0579">
        <w:rPr>
          <w:rFonts w:ascii="Verdana" w:hAnsi="Verdana"/>
          <w:bCs/>
          <w:color w:val="000000" w:themeColor="text1"/>
          <w:sz w:val="20"/>
          <w:szCs w:val="20"/>
        </w:rPr>
        <w:t xml:space="preserve">partnerships and collaborations which offer greater reach and </w:t>
      </w:r>
      <w:r w:rsidR="00AE0802" w:rsidRPr="007A0579">
        <w:rPr>
          <w:rFonts w:ascii="Verdana" w:hAnsi="Verdana"/>
          <w:bCs/>
          <w:color w:val="000000" w:themeColor="text1"/>
          <w:sz w:val="20"/>
          <w:szCs w:val="20"/>
        </w:rPr>
        <w:t xml:space="preserve">wider </w:t>
      </w:r>
      <w:r w:rsidR="00990762" w:rsidRPr="007A0579">
        <w:rPr>
          <w:rFonts w:ascii="Verdana" w:hAnsi="Verdana"/>
          <w:bCs/>
          <w:color w:val="000000" w:themeColor="text1"/>
          <w:sz w:val="20"/>
          <w:szCs w:val="20"/>
        </w:rPr>
        <w:t>impact</w:t>
      </w:r>
      <w:r w:rsidR="00B50947" w:rsidRPr="007A0579">
        <w:rPr>
          <w:rFonts w:ascii="Verdana" w:hAnsi="Verdana"/>
          <w:bCs/>
          <w:color w:val="000000" w:themeColor="text1"/>
          <w:sz w:val="20"/>
          <w:szCs w:val="20"/>
        </w:rPr>
        <w:t xml:space="preserve"> than acting alone.</w:t>
      </w:r>
      <w:r w:rsidR="00AE0802" w:rsidRPr="007A0579">
        <w:rPr>
          <w:rFonts w:ascii="Verdana" w:hAnsi="Verdana"/>
          <w:bCs/>
          <w:color w:val="000000" w:themeColor="text1"/>
          <w:sz w:val="20"/>
          <w:szCs w:val="20"/>
        </w:rPr>
        <w:t xml:space="preserve"> </w:t>
      </w:r>
      <w:r w:rsidR="00990762" w:rsidRPr="007A0579">
        <w:rPr>
          <w:rFonts w:ascii="Verdana" w:hAnsi="Verdana"/>
          <w:bCs/>
          <w:color w:val="000000" w:themeColor="text1"/>
          <w:sz w:val="20"/>
          <w:szCs w:val="20"/>
        </w:rPr>
        <w:t xml:space="preserve">The Fund's principal collaboration within the RI work stream is its membership of the Local Authority Pension Fund Forum (LAPFF) which exists to promote the investment interests of local authority pension funds as </w:t>
      </w:r>
      <w:r w:rsidR="00B50947" w:rsidRPr="007A0579">
        <w:rPr>
          <w:rFonts w:ascii="Verdana" w:hAnsi="Verdana"/>
          <w:bCs/>
          <w:color w:val="000000" w:themeColor="text1"/>
          <w:sz w:val="20"/>
          <w:szCs w:val="20"/>
        </w:rPr>
        <w:t>asset owners</w:t>
      </w:r>
      <w:r w:rsidR="00990762" w:rsidRPr="007A0579">
        <w:rPr>
          <w:rFonts w:ascii="Verdana" w:hAnsi="Verdana"/>
          <w:bCs/>
          <w:color w:val="000000" w:themeColor="text1"/>
          <w:sz w:val="20"/>
          <w:szCs w:val="20"/>
        </w:rPr>
        <w:t xml:space="preserve">. </w:t>
      </w:r>
      <w:r w:rsidR="00B50947" w:rsidRPr="007A0579">
        <w:rPr>
          <w:rFonts w:ascii="Verdana" w:eastAsia="Times New Roman" w:hAnsi="Verdana"/>
          <w:bCs/>
          <w:color w:val="000000" w:themeColor="text1"/>
          <w:sz w:val="20"/>
          <w:szCs w:val="20"/>
        </w:rPr>
        <w:t>70 of the 89 LGPS funds are now members.</w:t>
      </w:r>
    </w:p>
    <w:p w:rsidR="003E2FE9" w:rsidRPr="007A0579" w:rsidRDefault="003E2FE9" w:rsidP="001E1380">
      <w:pPr>
        <w:rPr>
          <w:rFonts w:ascii="Verdana" w:hAnsi="Verdana"/>
          <w:color w:val="000000"/>
          <w:sz w:val="20"/>
          <w:szCs w:val="20"/>
        </w:rPr>
      </w:pPr>
    </w:p>
    <w:p w:rsidR="000B38E8" w:rsidRPr="007A0579" w:rsidRDefault="000B38E8" w:rsidP="000B38E8">
      <w:pPr>
        <w:rPr>
          <w:rFonts w:ascii="Verdana" w:hAnsi="Verdana"/>
          <w:color w:val="000000"/>
          <w:sz w:val="20"/>
          <w:szCs w:val="20"/>
        </w:rPr>
      </w:pPr>
      <w:r w:rsidRPr="007A0579">
        <w:rPr>
          <w:rFonts w:ascii="Verdana" w:hAnsi="Verdana" w:cs="Arial"/>
          <w:bCs/>
          <w:color w:val="000000" w:themeColor="text1"/>
          <w:sz w:val="20"/>
          <w:szCs w:val="20"/>
        </w:rPr>
        <w:t xml:space="preserve">LAPFF is LCPF's </w:t>
      </w:r>
      <w:r w:rsidR="003E2FE9" w:rsidRPr="007A0579">
        <w:rPr>
          <w:rFonts w:ascii="Verdana" w:hAnsi="Verdana" w:cs="Arial"/>
          <w:bCs/>
          <w:color w:val="000000" w:themeColor="text1"/>
          <w:sz w:val="20"/>
          <w:szCs w:val="20"/>
        </w:rPr>
        <w:t xml:space="preserve">primary </w:t>
      </w:r>
      <w:r w:rsidRPr="007A0579">
        <w:rPr>
          <w:rFonts w:ascii="Verdana" w:hAnsi="Verdana" w:cs="Arial"/>
          <w:bCs/>
          <w:color w:val="000000" w:themeColor="text1"/>
          <w:sz w:val="20"/>
          <w:szCs w:val="20"/>
        </w:rPr>
        <w:t>engagement partner</w:t>
      </w:r>
      <w:r w:rsidRPr="007A0579">
        <w:rPr>
          <w:rFonts w:ascii="Verdana" w:eastAsia="Times New Roman" w:hAnsi="Verdana"/>
          <w:bCs/>
          <w:color w:val="000000" w:themeColor="text1"/>
          <w:sz w:val="20"/>
          <w:szCs w:val="20"/>
        </w:rPr>
        <w:t xml:space="preserve"> and LCPF</w:t>
      </w:r>
      <w:r w:rsidR="007A0579">
        <w:rPr>
          <w:rFonts w:ascii="Verdana" w:eastAsia="Times New Roman" w:hAnsi="Verdana"/>
          <w:bCs/>
          <w:color w:val="000000" w:themeColor="text1"/>
          <w:sz w:val="20"/>
          <w:szCs w:val="20"/>
        </w:rPr>
        <w:t>'s</w:t>
      </w:r>
      <w:r w:rsidRPr="007A0579">
        <w:rPr>
          <w:rFonts w:ascii="Verdana" w:eastAsia="Times New Roman" w:hAnsi="Verdana"/>
          <w:bCs/>
          <w:color w:val="000000" w:themeColor="text1"/>
          <w:sz w:val="20"/>
          <w:szCs w:val="20"/>
        </w:rPr>
        <w:t xml:space="preserve"> interests are </w:t>
      </w:r>
      <w:r w:rsidR="003E2FE9" w:rsidRPr="007A0579">
        <w:rPr>
          <w:rFonts w:ascii="Verdana" w:eastAsia="Times New Roman" w:hAnsi="Verdana"/>
          <w:bCs/>
          <w:color w:val="000000" w:themeColor="text1"/>
          <w:sz w:val="20"/>
          <w:szCs w:val="20"/>
        </w:rPr>
        <w:t xml:space="preserve">routinely </w:t>
      </w:r>
      <w:r w:rsidRPr="007A0579">
        <w:rPr>
          <w:rFonts w:ascii="Verdana" w:eastAsia="Times New Roman" w:hAnsi="Verdana"/>
          <w:bCs/>
          <w:color w:val="000000" w:themeColor="text1"/>
          <w:sz w:val="20"/>
          <w:szCs w:val="20"/>
        </w:rPr>
        <w:t xml:space="preserve">represented </w:t>
      </w:r>
      <w:r w:rsidR="008C6DA0">
        <w:rPr>
          <w:rFonts w:ascii="Verdana" w:eastAsia="Times New Roman" w:hAnsi="Verdana"/>
          <w:bCs/>
          <w:color w:val="000000" w:themeColor="text1"/>
          <w:sz w:val="20"/>
          <w:szCs w:val="20"/>
        </w:rPr>
        <w:t>by</w:t>
      </w:r>
      <w:r w:rsidRPr="007A0579">
        <w:rPr>
          <w:rFonts w:ascii="Verdana" w:eastAsia="Times New Roman" w:hAnsi="Verdana"/>
          <w:bCs/>
          <w:color w:val="000000" w:themeColor="text1"/>
          <w:sz w:val="20"/>
          <w:szCs w:val="20"/>
        </w:rPr>
        <w:t xml:space="preserve"> the Responsible Inv</w:t>
      </w:r>
      <w:r w:rsidR="003E2FE9" w:rsidRPr="007A0579">
        <w:rPr>
          <w:rFonts w:ascii="Verdana" w:eastAsia="Times New Roman" w:hAnsi="Verdana"/>
          <w:bCs/>
          <w:color w:val="000000" w:themeColor="text1"/>
          <w:sz w:val="20"/>
          <w:szCs w:val="20"/>
        </w:rPr>
        <w:t xml:space="preserve">estment Officer (LPP I Ltd) </w:t>
      </w:r>
      <w:r w:rsidR="008C6DA0">
        <w:rPr>
          <w:rFonts w:ascii="Verdana" w:eastAsia="Times New Roman" w:hAnsi="Verdana"/>
          <w:bCs/>
          <w:color w:val="000000" w:themeColor="text1"/>
          <w:sz w:val="20"/>
          <w:szCs w:val="20"/>
        </w:rPr>
        <w:t>who attends</w:t>
      </w:r>
      <w:r w:rsidRPr="007A0579">
        <w:rPr>
          <w:rFonts w:ascii="Verdana" w:eastAsia="Times New Roman" w:hAnsi="Verdana"/>
          <w:bCs/>
          <w:color w:val="000000" w:themeColor="text1"/>
          <w:sz w:val="20"/>
          <w:szCs w:val="20"/>
        </w:rPr>
        <w:t xml:space="preserve"> qu</w:t>
      </w:r>
      <w:r w:rsidR="003E2FE9" w:rsidRPr="007A0579">
        <w:rPr>
          <w:rFonts w:ascii="Verdana" w:eastAsia="Times New Roman" w:hAnsi="Verdana"/>
          <w:bCs/>
          <w:color w:val="000000" w:themeColor="text1"/>
          <w:sz w:val="20"/>
          <w:szCs w:val="20"/>
        </w:rPr>
        <w:t xml:space="preserve">arterly </w:t>
      </w:r>
      <w:r w:rsidR="00411EC7">
        <w:rPr>
          <w:rFonts w:ascii="Verdana" w:eastAsia="Times New Roman" w:hAnsi="Verdana"/>
          <w:bCs/>
          <w:color w:val="000000" w:themeColor="text1"/>
          <w:sz w:val="20"/>
          <w:szCs w:val="20"/>
        </w:rPr>
        <w:t xml:space="preserve">LAPFF </w:t>
      </w:r>
      <w:r w:rsidR="003E2FE9" w:rsidRPr="007A0579">
        <w:rPr>
          <w:rFonts w:ascii="Verdana" w:eastAsia="Times New Roman" w:hAnsi="Verdana"/>
          <w:bCs/>
          <w:color w:val="000000" w:themeColor="text1"/>
          <w:sz w:val="20"/>
          <w:szCs w:val="20"/>
        </w:rPr>
        <w:t>Business Meetings, seek</w:t>
      </w:r>
      <w:r w:rsidR="008C6DA0">
        <w:rPr>
          <w:rFonts w:ascii="Verdana" w:eastAsia="Times New Roman" w:hAnsi="Verdana"/>
          <w:bCs/>
          <w:color w:val="000000" w:themeColor="text1"/>
          <w:sz w:val="20"/>
          <w:szCs w:val="20"/>
        </w:rPr>
        <w:t>s</w:t>
      </w:r>
      <w:r w:rsidRPr="007A0579">
        <w:rPr>
          <w:rFonts w:ascii="Verdana" w:eastAsia="Times New Roman" w:hAnsi="Verdana"/>
          <w:bCs/>
          <w:color w:val="000000" w:themeColor="text1"/>
          <w:sz w:val="20"/>
          <w:szCs w:val="20"/>
        </w:rPr>
        <w:t xml:space="preserve"> to influence the development of th</w:t>
      </w:r>
      <w:r w:rsidR="003E2FE9" w:rsidRPr="007A0579">
        <w:rPr>
          <w:rFonts w:ascii="Verdana" w:eastAsia="Times New Roman" w:hAnsi="Verdana"/>
          <w:bCs/>
          <w:color w:val="000000" w:themeColor="text1"/>
          <w:sz w:val="20"/>
          <w:szCs w:val="20"/>
        </w:rPr>
        <w:t>e LAPFF work plan and identif</w:t>
      </w:r>
      <w:r w:rsidR="00411EC7">
        <w:rPr>
          <w:rFonts w:ascii="Verdana" w:eastAsia="Times New Roman" w:hAnsi="Verdana"/>
          <w:bCs/>
          <w:color w:val="000000" w:themeColor="text1"/>
          <w:sz w:val="20"/>
          <w:szCs w:val="20"/>
        </w:rPr>
        <w:t xml:space="preserve">ies </w:t>
      </w:r>
      <w:r w:rsidRPr="007A0579">
        <w:rPr>
          <w:rFonts w:ascii="Verdana" w:hAnsi="Verdana"/>
          <w:bCs/>
          <w:color w:val="000000" w:themeColor="text1"/>
          <w:sz w:val="20"/>
          <w:szCs w:val="20"/>
        </w:rPr>
        <w:t xml:space="preserve">opportunities for direct participation in </w:t>
      </w:r>
      <w:r w:rsidR="00C6350D">
        <w:rPr>
          <w:rFonts w:ascii="Verdana" w:hAnsi="Verdana"/>
          <w:bCs/>
          <w:color w:val="000000" w:themeColor="text1"/>
          <w:sz w:val="20"/>
          <w:szCs w:val="20"/>
        </w:rPr>
        <w:t xml:space="preserve">key </w:t>
      </w:r>
      <w:r w:rsidRPr="007A0579">
        <w:rPr>
          <w:rFonts w:ascii="Verdana" w:hAnsi="Verdana"/>
          <w:bCs/>
          <w:color w:val="000000" w:themeColor="text1"/>
          <w:sz w:val="20"/>
          <w:szCs w:val="20"/>
        </w:rPr>
        <w:t>initiatives.</w:t>
      </w:r>
      <w:r w:rsidRPr="007A0579">
        <w:rPr>
          <w:rFonts w:ascii="Verdana" w:eastAsia="Times New Roman" w:hAnsi="Verdana"/>
          <w:bCs/>
          <w:color w:val="000000" w:themeColor="text1"/>
          <w:sz w:val="20"/>
          <w:szCs w:val="20"/>
        </w:rPr>
        <w:t xml:space="preserve">  </w:t>
      </w:r>
    </w:p>
    <w:p w:rsidR="00674A84" w:rsidRPr="007A0579" w:rsidRDefault="00674A84" w:rsidP="00B50947">
      <w:pPr>
        <w:contextualSpacing/>
        <w:jc w:val="both"/>
        <w:rPr>
          <w:rFonts w:ascii="Verdana" w:eastAsia="Times New Roman" w:hAnsi="Verdana"/>
          <w:bCs/>
          <w:color w:val="000000" w:themeColor="text1"/>
          <w:sz w:val="20"/>
          <w:szCs w:val="20"/>
        </w:rPr>
      </w:pPr>
    </w:p>
    <w:p w:rsidR="00B50947" w:rsidRPr="007A0579" w:rsidRDefault="003E2FE9" w:rsidP="00B50947">
      <w:pPr>
        <w:contextualSpacing/>
        <w:jc w:val="both"/>
        <w:rPr>
          <w:rFonts w:ascii="Verdana" w:hAnsi="Verdana" w:cs="Arial"/>
          <w:sz w:val="20"/>
          <w:szCs w:val="20"/>
        </w:rPr>
      </w:pPr>
      <w:r w:rsidRPr="007A0579">
        <w:rPr>
          <w:rFonts w:ascii="Verdana" w:hAnsi="Verdana" w:cs="Arial"/>
          <w:bCs/>
          <w:color w:val="000000" w:themeColor="text1"/>
          <w:sz w:val="20"/>
          <w:szCs w:val="20"/>
        </w:rPr>
        <w:t>A copy of LAPFF's Q1 2016 engagement report has been placed within the Members Re</w:t>
      </w:r>
      <w:r w:rsidR="00F91E15">
        <w:rPr>
          <w:rFonts w:ascii="Verdana" w:hAnsi="Verdana" w:cs="Arial"/>
          <w:bCs/>
          <w:color w:val="000000" w:themeColor="text1"/>
          <w:sz w:val="20"/>
          <w:szCs w:val="20"/>
        </w:rPr>
        <w:t>tiring</w:t>
      </w:r>
      <w:bookmarkStart w:id="0" w:name="_GoBack"/>
      <w:bookmarkEnd w:id="0"/>
      <w:r w:rsidRPr="007A0579">
        <w:rPr>
          <w:rFonts w:ascii="Verdana" w:hAnsi="Verdana" w:cs="Arial"/>
          <w:bCs/>
          <w:color w:val="000000" w:themeColor="text1"/>
          <w:sz w:val="20"/>
          <w:szCs w:val="20"/>
        </w:rPr>
        <w:t xml:space="preserve"> Room for reference and</w:t>
      </w:r>
      <w:r w:rsidR="00B50947" w:rsidRPr="007A0579">
        <w:rPr>
          <w:rFonts w:ascii="Verdana" w:hAnsi="Verdana" w:cs="Arial"/>
          <w:bCs/>
          <w:color w:val="000000" w:themeColor="text1"/>
          <w:sz w:val="20"/>
          <w:szCs w:val="20"/>
        </w:rPr>
        <w:t xml:space="preserve"> </w:t>
      </w:r>
      <w:r w:rsidR="00225D26" w:rsidRPr="007A0579">
        <w:rPr>
          <w:rFonts w:ascii="Verdana" w:hAnsi="Verdana" w:cs="Arial"/>
          <w:bCs/>
          <w:color w:val="000000" w:themeColor="text1"/>
          <w:sz w:val="20"/>
          <w:szCs w:val="20"/>
        </w:rPr>
        <w:t xml:space="preserve">recaps on </w:t>
      </w:r>
      <w:r w:rsidR="00AE0802" w:rsidRPr="007A0579">
        <w:rPr>
          <w:rFonts w:ascii="Verdana" w:hAnsi="Verdana" w:cs="Arial"/>
          <w:bCs/>
          <w:color w:val="000000" w:themeColor="text1"/>
          <w:sz w:val="20"/>
          <w:szCs w:val="20"/>
        </w:rPr>
        <w:t xml:space="preserve">activities in the period from 1 January </w:t>
      </w:r>
      <w:r w:rsidR="00225D26" w:rsidRPr="007A0579">
        <w:rPr>
          <w:rFonts w:ascii="Verdana" w:hAnsi="Verdana" w:cs="Arial"/>
          <w:bCs/>
          <w:color w:val="000000" w:themeColor="text1"/>
          <w:sz w:val="20"/>
          <w:szCs w:val="20"/>
        </w:rPr>
        <w:t>to 31 March 2016</w:t>
      </w:r>
      <w:r w:rsidR="005D33DB" w:rsidRPr="007A0579">
        <w:rPr>
          <w:rFonts w:ascii="Verdana" w:hAnsi="Verdana" w:cs="Arial"/>
          <w:bCs/>
          <w:color w:val="000000" w:themeColor="text1"/>
          <w:sz w:val="20"/>
          <w:szCs w:val="20"/>
        </w:rPr>
        <w:t xml:space="preserve">. </w:t>
      </w:r>
      <w:r w:rsidR="00B50947" w:rsidRPr="007A0579">
        <w:rPr>
          <w:rFonts w:ascii="Verdana" w:hAnsi="Verdana" w:cs="Arial"/>
          <w:sz w:val="20"/>
          <w:szCs w:val="20"/>
        </w:rPr>
        <w:t>Highlights in th</w:t>
      </w:r>
      <w:r w:rsidR="001E1380" w:rsidRPr="007A0579">
        <w:rPr>
          <w:rFonts w:ascii="Verdana" w:hAnsi="Verdana" w:cs="Arial"/>
          <w:sz w:val="20"/>
          <w:szCs w:val="20"/>
        </w:rPr>
        <w:t>is first</w:t>
      </w:r>
      <w:r w:rsidR="00B50947" w:rsidRPr="007A0579">
        <w:rPr>
          <w:rFonts w:ascii="Verdana" w:hAnsi="Verdana" w:cs="Arial"/>
          <w:sz w:val="20"/>
          <w:szCs w:val="20"/>
        </w:rPr>
        <w:t xml:space="preserve"> quarter include:</w:t>
      </w:r>
    </w:p>
    <w:p w:rsidR="005D33DB" w:rsidRPr="007A0579" w:rsidRDefault="005D33DB" w:rsidP="00B50947">
      <w:pPr>
        <w:contextualSpacing/>
        <w:jc w:val="both"/>
        <w:rPr>
          <w:rFonts w:ascii="Verdana" w:hAnsi="Verdana" w:cs="Helvetica-Bold"/>
          <w:bCs/>
          <w:sz w:val="20"/>
          <w:szCs w:val="20"/>
        </w:rPr>
      </w:pPr>
    </w:p>
    <w:p w:rsidR="00225D26" w:rsidRPr="007A0579" w:rsidRDefault="00225D26" w:rsidP="005D33DB">
      <w:pPr>
        <w:pStyle w:val="ListParagraph"/>
        <w:numPr>
          <w:ilvl w:val="0"/>
          <w:numId w:val="10"/>
        </w:numPr>
        <w:ind w:left="284" w:hanging="284"/>
        <w:contextualSpacing/>
        <w:jc w:val="both"/>
        <w:rPr>
          <w:rFonts w:ascii="Verdana" w:hAnsi="Verdana" w:cs="Helvetica-Bold"/>
          <w:bCs/>
        </w:rPr>
      </w:pPr>
      <w:r w:rsidRPr="007A0579">
        <w:rPr>
          <w:rFonts w:ascii="Verdana" w:hAnsi="Verdana" w:cs="Helvetica-Bold"/>
          <w:bCs/>
        </w:rPr>
        <w:t xml:space="preserve">Strategic Resilience Resolutions co-filed by LAPFF funds </w:t>
      </w:r>
    </w:p>
    <w:p w:rsidR="00856D67" w:rsidRPr="007A0579" w:rsidRDefault="00856D67" w:rsidP="005D33DB">
      <w:pPr>
        <w:autoSpaceDE w:val="0"/>
        <w:autoSpaceDN w:val="0"/>
        <w:adjustRightInd w:val="0"/>
        <w:ind w:left="284"/>
        <w:rPr>
          <w:rFonts w:ascii="Verdana" w:hAnsi="Verdana" w:cs="Helvetica"/>
          <w:sz w:val="20"/>
          <w:szCs w:val="20"/>
        </w:rPr>
      </w:pPr>
      <w:r w:rsidRPr="007A0579">
        <w:rPr>
          <w:rFonts w:ascii="Verdana" w:hAnsi="Verdana" w:cs="Helvetica"/>
          <w:sz w:val="20"/>
          <w:szCs w:val="20"/>
        </w:rPr>
        <w:t xml:space="preserve">Building on </w:t>
      </w:r>
      <w:r w:rsidR="009E3221" w:rsidRPr="007A0579">
        <w:rPr>
          <w:rFonts w:ascii="Verdana" w:hAnsi="Verdana" w:cs="Helvetica"/>
          <w:sz w:val="20"/>
          <w:szCs w:val="20"/>
        </w:rPr>
        <w:t xml:space="preserve">the </w:t>
      </w:r>
      <w:r w:rsidRPr="007A0579">
        <w:rPr>
          <w:rFonts w:ascii="Verdana" w:hAnsi="Verdana" w:cs="Helvetica"/>
          <w:sz w:val="20"/>
          <w:szCs w:val="20"/>
        </w:rPr>
        <w:t xml:space="preserve">success </w:t>
      </w:r>
      <w:r w:rsidR="009E3221" w:rsidRPr="007A0579">
        <w:rPr>
          <w:rFonts w:ascii="Verdana" w:hAnsi="Verdana" w:cs="Helvetica"/>
          <w:sz w:val="20"/>
          <w:szCs w:val="20"/>
        </w:rPr>
        <w:t>of</w:t>
      </w:r>
      <w:r w:rsidRPr="007A0579">
        <w:rPr>
          <w:rFonts w:ascii="Verdana" w:hAnsi="Verdana" w:cs="Helvetica"/>
          <w:sz w:val="20"/>
          <w:szCs w:val="20"/>
        </w:rPr>
        <w:t xml:space="preserve"> last year’s results at the Shell and BP AGMs, three strategic resilience resolutions have been co-filed for the 2016 AGMs of </w:t>
      </w:r>
      <w:r w:rsidRPr="007A0579">
        <w:rPr>
          <w:rFonts w:ascii="Verdana" w:hAnsi="Verdana" w:cs="Helvetica-Bold"/>
          <w:bCs/>
          <w:sz w:val="20"/>
          <w:szCs w:val="20"/>
        </w:rPr>
        <w:t>Glencore</w:t>
      </w:r>
      <w:r w:rsidRPr="007A0579">
        <w:rPr>
          <w:rFonts w:ascii="Verdana" w:hAnsi="Verdana" w:cs="Helvetica"/>
          <w:sz w:val="20"/>
          <w:szCs w:val="20"/>
        </w:rPr>
        <w:t xml:space="preserve">, </w:t>
      </w:r>
      <w:r w:rsidRPr="007A0579">
        <w:rPr>
          <w:rFonts w:ascii="Verdana" w:hAnsi="Verdana" w:cs="Helvetica-Bold"/>
          <w:bCs/>
          <w:sz w:val="20"/>
          <w:szCs w:val="20"/>
        </w:rPr>
        <w:t>Anglo American</w:t>
      </w:r>
      <w:r w:rsidRPr="007A0579">
        <w:rPr>
          <w:rFonts w:ascii="Verdana" w:hAnsi="Verdana" w:cs="Helvetica"/>
          <w:sz w:val="20"/>
          <w:szCs w:val="20"/>
        </w:rPr>
        <w:t xml:space="preserve">, and </w:t>
      </w:r>
      <w:r w:rsidRPr="007A0579">
        <w:rPr>
          <w:rFonts w:ascii="Verdana" w:hAnsi="Verdana" w:cs="Helvetica-Bold"/>
          <w:bCs/>
          <w:sz w:val="20"/>
          <w:szCs w:val="20"/>
        </w:rPr>
        <w:t>Rio Tinto</w:t>
      </w:r>
      <w:r w:rsidRPr="007A0579">
        <w:rPr>
          <w:rFonts w:ascii="Verdana" w:hAnsi="Verdana" w:cs="Helvetica"/>
          <w:sz w:val="20"/>
          <w:szCs w:val="20"/>
        </w:rPr>
        <w:t>. Extra efforts were required by LAPFF and its coalition partners to rally Anglo American shareholders and push the resolution over the co-filing threshold.</w:t>
      </w:r>
    </w:p>
    <w:p w:rsidR="005D33DB" w:rsidRPr="007A0579" w:rsidRDefault="005D33DB" w:rsidP="005D33DB">
      <w:pPr>
        <w:autoSpaceDE w:val="0"/>
        <w:autoSpaceDN w:val="0"/>
        <w:adjustRightInd w:val="0"/>
        <w:ind w:left="284"/>
        <w:rPr>
          <w:rFonts w:ascii="Verdana" w:hAnsi="Verdana" w:cs="Helvetica"/>
          <w:sz w:val="20"/>
          <w:szCs w:val="20"/>
        </w:rPr>
      </w:pPr>
    </w:p>
    <w:p w:rsidR="00225D26" w:rsidRPr="007A0579" w:rsidRDefault="00856D67" w:rsidP="005D33DB">
      <w:pPr>
        <w:pStyle w:val="ListParagraph"/>
        <w:numPr>
          <w:ilvl w:val="0"/>
          <w:numId w:val="10"/>
        </w:numPr>
        <w:ind w:left="284" w:hanging="284"/>
        <w:contextualSpacing/>
        <w:jc w:val="both"/>
        <w:rPr>
          <w:rFonts w:ascii="Verdana" w:hAnsi="Verdana"/>
          <w:bCs/>
          <w:color w:val="000000" w:themeColor="text1"/>
        </w:rPr>
      </w:pPr>
      <w:r w:rsidRPr="007A0579">
        <w:rPr>
          <w:rFonts w:ascii="Verdana" w:hAnsi="Verdana" w:cs="Helvetica-Bold"/>
          <w:bCs/>
        </w:rPr>
        <w:t>Trends Emerg</w:t>
      </w:r>
      <w:r w:rsidR="00D43476" w:rsidRPr="007A0579">
        <w:rPr>
          <w:rFonts w:ascii="Verdana" w:hAnsi="Verdana" w:cs="Helvetica-Bold"/>
          <w:bCs/>
        </w:rPr>
        <w:t>ing from Tax Engagement</w:t>
      </w:r>
    </w:p>
    <w:p w:rsidR="005D33DB" w:rsidRPr="007A0579" w:rsidRDefault="005D33DB" w:rsidP="005D33DB">
      <w:pPr>
        <w:autoSpaceDE w:val="0"/>
        <w:autoSpaceDN w:val="0"/>
        <w:adjustRightInd w:val="0"/>
        <w:ind w:left="284"/>
        <w:rPr>
          <w:rFonts w:ascii="Verdana" w:hAnsi="Verdana" w:cs="Helvetica"/>
          <w:sz w:val="20"/>
          <w:szCs w:val="20"/>
        </w:rPr>
      </w:pPr>
      <w:r w:rsidRPr="007A0579">
        <w:rPr>
          <w:rFonts w:ascii="Verdana" w:hAnsi="Verdana" w:cs="Helvetica"/>
          <w:sz w:val="20"/>
          <w:szCs w:val="20"/>
        </w:rPr>
        <w:t xml:space="preserve">LAPFF has received further responses and </w:t>
      </w:r>
      <w:r w:rsidR="009E3221" w:rsidRPr="007A0579">
        <w:rPr>
          <w:rFonts w:ascii="Verdana" w:hAnsi="Verdana" w:cs="Helvetica"/>
          <w:sz w:val="20"/>
          <w:szCs w:val="20"/>
        </w:rPr>
        <w:t xml:space="preserve">held </w:t>
      </w:r>
      <w:r w:rsidRPr="007A0579">
        <w:rPr>
          <w:rFonts w:ascii="Verdana" w:hAnsi="Verdana" w:cs="Helvetica"/>
          <w:sz w:val="20"/>
          <w:szCs w:val="20"/>
        </w:rPr>
        <w:t>me</w:t>
      </w:r>
      <w:r w:rsidR="009E3221" w:rsidRPr="007A0579">
        <w:rPr>
          <w:rFonts w:ascii="Verdana" w:hAnsi="Verdana" w:cs="Helvetica"/>
          <w:sz w:val="20"/>
          <w:szCs w:val="20"/>
        </w:rPr>
        <w:t>e</w:t>
      </w:r>
      <w:r w:rsidRPr="007A0579">
        <w:rPr>
          <w:rFonts w:ascii="Verdana" w:hAnsi="Verdana" w:cs="Helvetica"/>
          <w:sz w:val="20"/>
          <w:szCs w:val="20"/>
        </w:rPr>
        <w:t>t</w:t>
      </w:r>
      <w:r w:rsidR="009E3221" w:rsidRPr="007A0579">
        <w:rPr>
          <w:rFonts w:ascii="Verdana" w:hAnsi="Verdana" w:cs="Helvetica"/>
          <w:sz w:val="20"/>
          <w:szCs w:val="20"/>
        </w:rPr>
        <w:t>ings</w:t>
      </w:r>
      <w:r w:rsidRPr="007A0579">
        <w:rPr>
          <w:rFonts w:ascii="Verdana" w:hAnsi="Verdana" w:cs="Helvetica"/>
          <w:sz w:val="20"/>
          <w:szCs w:val="20"/>
        </w:rPr>
        <w:t xml:space="preserve"> with three more companies </w:t>
      </w:r>
      <w:r w:rsidR="009E3221" w:rsidRPr="007A0579">
        <w:rPr>
          <w:rFonts w:ascii="Verdana" w:hAnsi="Verdana" w:cs="Helvetica"/>
          <w:sz w:val="20"/>
          <w:szCs w:val="20"/>
        </w:rPr>
        <w:t xml:space="preserve">as part of </w:t>
      </w:r>
      <w:r w:rsidRPr="007A0579">
        <w:rPr>
          <w:rFonts w:ascii="Verdana" w:hAnsi="Verdana" w:cs="Helvetica"/>
          <w:sz w:val="20"/>
          <w:szCs w:val="20"/>
        </w:rPr>
        <w:t xml:space="preserve">its ongoing Corporate Tax Transparency Initiative. Engagements reveal a continued reluctance to increase the disclosure of tax practices, even by companies already doing relatively well in this area. </w:t>
      </w:r>
    </w:p>
    <w:p w:rsidR="00B50947" w:rsidRPr="007A0579" w:rsidRDefault="00B50947" w:rsidP="00B50947">
      <w:pPr>
        <w:jc w:val="both"/>
        <w:rPr>
          <w:rFonts w:ascii="Verdana" w:eastAsia="Times New Roman" w:hAnsi="Verdana"/>
          <w:bCs/>
          <w:sz w:val="20"/>
          <w:szCs w:val="20"/>
        </w:rPr>
      </w:pPr>
    </w:p>
    <w:p w:rsidR="00B50947" w:rsidRPr="007A0579" w:rsidRDefault="00B50947" w:rsidP="00B50947">
      <w:pPr>
        <w:jc w:val="both"/>
        <w:rPr>
          <w:rFonts w:ascii="Verdana" w:eastAsia="Times New Roman" w:hAnsi="Verdana"/>
          <w:bCs/>
          <w:sz w:val="20"/>
          <w:szCs w:val="20"/>
        </w:rPr>
      </w:pPr>
      <w:r w:rsidRPr="007A0579">
        <w:rPr>
          <w:rFonts w:ascii="Verdana" w:eastAsia="Times New Roman" w:hAnsi="Verdana"/>
          <w:bCs/>
          <w:sz w:val="20"/>
          <w:szCs w:val="20"/>
        </w:rPr>
        <w:t xml:space="preserve">LAPFF's </w:t>
      </w:r>
      <w:r w:rsidR="005D33DB" w:rsidRPr="007A0579">
        <w:rPr>
          <w:rFonts w:ascii="Verdana" w:eastAsia="Times New Roman" w:hAnsi="Verdana"/>
          <w:bCs/>
          <w:sz w:val="20"/>
          <w:szCs w:val="20"/>
        </w:rPr>
        <w:t xml:space="preserve">most recent </w:t>
      </w:r>
      <w:r w:rsidRPr="007A0579">
        <w:rPr>
          <w:rFonts w:ascii="Verdana" w:eastAsia="Times New Roman" w:hAnsi="Verdana"/>
          <w:bCs/>
          <w:sz w:val="20"/>
          <w:szCs w:val="20"/>
        </w:rPr>
        <w:t xml:space="preserve">quarterly Business Meeting </w:t>
      </w:r>
      <w:r w:rsidR="009E3221" w:rsidRPr="007A0579">
        <w:rPr>
          <w:rFonts w:ascii="Verdana" w:eastAsia="Times New Roman" w:hAnsi="Verdana"/>
          <w:bCs/>
          <w:sz w:val="20"/>
          <w:szCs w:val="20"/>
        </w:rPr>
        <w:t>took place</w:t>
      </w:r>
      <w:r w:rsidR="005D33DB" w:rsidRPr="007A0579">
        <w:rPr>
          <w:rFonts w:ascii="Verdana" w:eastAsia="Times New Roman" w:hAnsi="Verdana"/>
          <w:bCs/>
          <w:sz w:val="20"/>
          <w:szCs w:val="20"/>
        </w:rPr>
        <w:t xml:space="preserve"> on </w:t>
      </w:r>
      <w:r w:rsidRPr="007A0579">
        <w:rPr>
          <w:rFonts w:ascii="Verdana" w:eastAsia="Times New Roman" w:hAnsi="Verdana"/>
          <w:bCs/>
          <w:sz w:val="20"/>
          <w:szCs w:val="20"/>
        </w:rPr>
        <w:t>19</w:t>
      </w:r>
      <w:r w:rsidRPr="007A0579">
        <w:rPr>
          <w:rFonts w:ascii="Verdana" w:eastAsia="Times New Roman" w:hAnsi="Verdana"/>
          <w:bCs/>
          <w:sz w:val="20"/>
          <w:szCs w:val="20"/>
          <w:vertAlign w:val="superscript"/>
        </w:rPr>
        <w:t>th</w:t>
      </w:r>
      <w:r w:rsidRPr="007A0579">
        <w:rPr>
          <w:rFonts w:ascii="Verdana" w:eastAsia="Times New Roman" w:hAnsi="Verdana"/>
          <w:bCs/>
          <w:sz w:val="20"/>
          <w:szCs w:val="20"/>
        </w:rPr>
        <w:t xml:space="preserve"> April</w:t>
      </w:r>
      <w:r w:rsidR="00D43476" w:rsidRPr="007A0579">
        <w:rPr>
          <w:rFonts w:ascii="Verdana" w:eastAsia="Times New Roman" w:hAnsi="Verdana"/>
          <w:bCs/>
          <w:sz w:val="20"/>
          <w:szCs w:val="20"/>
        </w:rPr>
        <w:t xml:space="preserve"> 2016</w:t>
      </w:r>
      <w:r w:rsidR="00D66DD9" w:rsidRPr="007A0579">
        <w:rPr>
          <w:rFonts w:ascii="Verdana" w:eastAsia="Times New Roman" w:hAnsi="Verdana"/>
          <w:bCs/>
          <w:sz w:val="20"/>
          <w:szCs w:val="20"/>
        </w:rPr>
        <w:t xml:space="preserve"> and </w:t>
      </w:r>
      <w:r w:rsidR="00D66DD9" w:rsidRPr="007A0579">
        <w:rPr>
          <w:rFonts w:ascii="Verdana" w:eastAsia="Times New Roman" w:hAnsi="Verdana" w:cs="Arial"/>
          <w:sz w:val="20"/>
          <w:szCs w:val="20"/>
        </w:rPr>
        <w:t>h</w:t>
      </w:r>
      <w:r w:rsidRPr="007A0579">
        <w:rPr>
          <w:rFonts w:ascii="Verdana" w:eastAsia="Times New Roman" w:hAnsi="Verdana" w:cs="Arial"/>
          <w:sz w:val="20"/>
          <w:szCs w:val="20"/>
        </w:rPr>
        <w:t xml:space="preserve">eadlines </w:t>
      </w:r>
      <w:r w:rsidR="009E3221" w:rsidRPr="007A0579">
        <w:rPr>
          <w:rFonts w:ascii="Verdana" w:eastAsia="Times New Roman" w:hAnsi="Verdana" w:cs="Arial"/>
          <w:sz w:val="20"/>
          <w:szCs w:val="20"/>
        </w:rPr>
        <w:t>from th</w:t>
      </w:r>
      <w:r w:rsidR="00D66DD9" w:rsidRPr="007A0579">
        <w:rPr>
          <w:rFonts w:ascii="Verdana" w:eastAsia="Times New Roman" w:hAnsi="Verdana" w:cs="Arial"/>
          <w:sz w:val="20"/>
          <w:szCs w:val="20"/>
        </w:rPr>
        <w:t>e</w:t>
      </w:r>
      <w:r w:rsidRPr="007A0579">
        <w:rPr>
          <w:rFonts w:ascii="Verdana" w:eastAsia="Times New Roman" w:hAnsi="Verdana" w:cs="Arial"/>
          <w:sz w:val="20"/>
          <w:szCs w:val="20"/>
        </w:rPr>
        <w:t xml:space="preserve"> meeting included the following</w:t>
      </w:r>
      <w:r w:rsidR="00D43476" w:rsidRPr="007A0579">
        <w:rPr>
          <w:rFonts w:ascii="Verdana" w:eastAsia="Times New Roman" w:hAnsi="Verdana" w:cs="Arial"/>
          <w:sz w:val="20"/>
          <w:szCs w:val="20"/>
        </w:rPr>
        <w:t xml:space="preserve"> matters</w:t>
      </w:r>
      <w:r w:rsidRPr="007A0579">
        <w:rPr>
          <w:rFonts w:ascii="Verdana" w:eastAsia="Times New Roman" w:hAnsi="Verdana" w:cs="Arial"/>
          <w:sz w:val="20"/>
          <w:szCs w:val="20"/>
        </w:rPr>
        <w:t>:</w:t>
      </w:r>
    </w:p>
    <w:p w:rsidR="00B50947" w:rsidRPr="007A0579" w:rsidRDefault="00B50947" w:rsidP="00B50947">
      <w:pPr>
        <w:jc w:val="both"/>
        <w:rPr>
          <w:rFonts w:ascii="Verdana" w:eastAsia="Times New Roman" w:hAnsi="Verdana" w:cs="Arial"/>
          <w:sz w:val="20"/>
          <w:szCs w:val="20"/>
        </w:rPr>
      </w:pPr>
    </w:p>
    <w:p w:rsidR="00B50947" w:rsidRPr="007A0579" w:rsidRDefault="00B50947" w:rsidP="00B50947">
      <w:pPr>
        <w:numPr>
          <w:ilvl w:val="0"/>
          <w:numId w:val="9"/>
        </w:numPr>
        <w:ind w:left="426" w:hanging="284"/>
        <w:contextualSpacing/>
        <w:jc w:val="both"/>
        <w:rPr>
          <w:rFonts w:ascii="Verdana" w:eastAsia="Times New Roman" w:hAnsi="Verdana" w:cs="Arial"/>
          <w:sz w:val="20"/>
          <w:szCs w:val="20"/>
        </w:rPr>
      </w:pPr>
      <w:r w:rsidRPr="007A0579">
        <w:rPr>
          <w:rFonts w:ascii="Verdana" w:eastAsia="Times New Roman" w:hAnsi="Verdana" w:cs="Arial"/>
          <w:sz w:val="20"/>
          <w:szCs w:val="20"/>
        </w:rPr>
        <w:t xml:space="preserve">The </w:t>
      </w:r>
      <w:r w:rsidR="005D33DB" w:rsidRPr="007A0579">
        <w:rPr>
          <w:rFonts w:ascii="Verdana" w:eastAsia="Times New Roman" w:hAnsi="Verdana" w:cs="Arial"/>
          <w:sz w:val="20"/>
          <w:szCs w:val="20"/>
        </w:rPr>
        <w:t xml:space="preserve">LGPS </w:t>
      </w:r>
      <w:r w:rsidRPr="007A0579">
        <w:rPr>
          <w:rFonts w:ascii="Verdana" w:eastAsia="Times New Roman" w:hAnsi="Verdana" w:cs="Arial"/>
          <w:sz w:val="20"/>
          <w:szCs w:val="20"/>
        </w:rPr>
        <w:t xml:space="preserve">Scheme Advisory Board (SAB) </w:t>
      </w:r>
      <w:r w:rsidRPr="007A0579">
        <w:rPr>
          <w:rFonts w:ascii="Verdana" w:hAnsi="Verdana" w:cs="Arial"/>
          <w:sz w:val="20"/>
          <w:szCs w:val="20"/>
        </w:rPr>
        <w:t>has</w:t>
      </w:r>
      <w:r w:rsidR="00D43476" w:rsidRPr="007A0579">
        <w:rPr>
          <w:rFonts w:ascii="Verdana" w:hAnsi="Verdana" w:cs="Arial"/>
          <w:sz w:val="20"/>
          <w:szCs w:val="20"/>
        </w:rPr>
        <w:t xml:space="preserve"> </w:t>
      </w:r>
      <w:r w:rsidRPr="007A0579">
        <w:rPr>
          <w:rFonts w:ascii="Verdana" w:hAnsi="Verdana" w:cs="Arial"/>
          <w:sz w:val="20"/>
          <w:szCs w:val="20"/>
        </w:rPr>
        <w:t xml:space="preserve">met under the chairmanship of Cllr Roger Philips. John Richards of UNISON has been appointed Vice Chair. </w:t>
      </w:r>
      <w:r w:rsidR="009E3221" w:rsidRPr="007A0579">
        <w:rPr>
          <w:rFonts w:ascii="Verdana" w:hAnsi="Verdana" w:cs="Arial"/>
          <w:sz w:val="20"/>
          <w:szCs w:val="20"/>
        </w:rPr>
        <w:t xml:space="preserve">The LAPFF Executive </w:t>
      </w:r>
      <w:r w:rsidR="00D43476" w:rsidRPr="007A0579">
        <w:rPr>
          <w:rFonts w:ascii="Verdana" w:hAnsi="Verdana" w:cs="Arial"/>
          <w:sz w:val="20"/>
          <w:szCs w:val="20"/>
        </w:rPr>
        <w:t>consider</w:t>
      </w:r>
      <w:r w:rsidR="009E3221" w:rsidRPr="007A0579">
        <w:rPr>
          <w:rFonts w:ascii="Verdana" w:hAnsi="Verdana" w:cs="Arial"/>
          <w:sz w:val="20"/>
          <w:szCs w:val="20"/>
        </w:rPr>
        <w:t xml:space="preserve"> these</w:t>
      </w:r>
      <w:r w:rsidR="00D43476" w:rsidRPr="007A0579">
        <w:rPr>
          <w:rFonts w:ascii="Verdana" w:hAnsi="Verdana" w:cs="Arial"/>
          <w:sz w:val="20"/>
          <w:szCs w:val="20"/>
        </w:rPr>
        <w:t xml:space="preserve"> </w:t>
      </w:r>
      <w:r w:rsidR="009E3221" w:rsidRPr="007A0579">
        <w:rPr>
          <w:rFonts w:ascii="Verdana" w:hAnsi="Verdana" w:cs="Arial"/>
          <w:sz w:val="20"/>
          <w:szCs w:val="20"/>
        </w:rPr>
        <w:t>to be good appointments which</w:t>
      </w:r>
      <w:r w:rsidR="00D43476" w:rsidRPr="007A0579">
        <w:rPr>
          <w:rFonts w:ascii="Verdana" w:hAnsi="Verdana" w:cs="Arial"/>
          <w:sz w:val="20"/>
          <w:szCs w:val="20"/>
        </w:rPr>
        <w:t xml:space="preserve"> </w:t>
      </w:r>
      <w:r w:rsidRPr="007A0579">
        <w:rPr>
          <w:rFonts w:ascii="Verdana" w:hAnsi="Verdana" w:cs="Arial"/>
          <w:sz w:val="20"/>
          <w:szCs w:val="20"/>
        </w:rPr>
        <w:t xml:space="preserve">will provide </w:t>
      </w:r>
      <w:r w:rsidR="00D43476" w:rsidRPr="007A0579">
        <w:rPr>
          <w:rFonts w:ascii="Verdana" w:hAnsi="Verdana" w:cs="Arial"/>
          <w:sz w:val="20"/>
          <w:szCs w:val="20"/>
        </w:rPr>
        <w:t xml:space="preserve">the scheme with </w:t>
      </w:r>
      <w:r w:rsidR="009E3221" w:rsidRPr="007A0579">
        <w:rPr>
          <w:rFonts w:ascii="Verdana" w:hAnsi="Verdana" w:cs="Arial"/>
          <w:sz w:val="20"/>
          <w:szCs w:val="20"/>
        </w:rPr>
        <w:t xml:space="preserve">strong </w:t>
      </w:r>
      <w:r w:rsidRPr="007A0579">
        <w:rPr>
          <w:rFonts w:ascii="Verdana" w:hAnsi="Verdana" w:cs="Arial"/>
          <w:sz w:val="20"/>
          <w:szCs w:val="20"/>
        </w:rPr>
        <w:t>leadership.</w:t>
      </w:r>
    </w:p>
    <w:p w:rsidR="00B50947" w:rsidRPr="007A0579" w:rsidRDefault="00B50947" w:rsidP="00B50947">
      <w:pPr>
        <w:numPr>
          <w:ilvl w:val="0"/>
          <w:numId w:val="9"/>
        </w:numPr>
        <w:autoSpaceDE w:val="0"/>
        <w:autoSpaceDN w:val="0"/>
        <w:adjustRightInd w:val="0"/>
        <w:ind w:left="426" w:hanging="284"/>
        <w:contextualSpacing/>
        <w:rPr>
          <w:rFonts w:ascii="Verdana" w:hAnsi="Verdana" w:cs="Arial"/>
          <w:sz w:val="20"/>
          <w:szCs w:val="20"/>
        </w:rPr>
      </w:pPr>
      <w:r w:rsidRPr="007A0579">
        <w:rPr>
          <w:rFonts w:ascii="Verdana" w:hAnsi="Verdana" w:cs="Arial"/>
          <w:sz w:val="20"/>
          <w:szCs w:val="20"/>
        </w:rPr>
        <w:t xml:space="preserve">The Executive has received a report on </w:t>
      </w:r>
      <w:r w:rsidR="00D43476" w:rsidRPr="007A0579">
        <w:rPr>
          <w:rFonts w:ascii="Verdana" w:hAnsi="Verdana" w:cs="Arial"/>
          <w:sz w:val="20"/>
          <w:szCs w:val="20"/>
        </w:rPr>
        <w:t xml:space="preserve">the </w:t>
      </w:r>
      <w:r w:rsidRPr="007A0579">
        <w:rPr>
          <w:rFonts w:ascii="Verdana" w:hAnsi="Verdana" w:cs="Arial"/>
          <w:sz w:val="20"/>
          <w:szCs w:val="20"/>
        </w:rPr>
        <w:t xml:space="preserve">LAPFF membership structure including early proposals for accommodating the change in landscape arising from pooling. The working party on the LAPFF constitution will </w:t>
      </w:r>
      <w:r w:rsidR="007A0579">
        <w:rPr>
          <w:rFonts w:ascii="Verdana" w:hAnsi="Verdana" w:cs="Arial"/>
          <w:sz w:val="20"/>
          <w:szCs w:val="20"/>
        </w:rPr>
        <w:t xml:space="preserve">continue to </w:t>
      </w:r>
      <w:r w:rsidRPr="007A0579">
        <w:rPr>
          <w:rFonts w:ascii="Verdana" w:hAnsi="Verdana" w:cs="Arial"/>
          <w:sz w:val="20"/>
          <w:szCs w:val="20"/>
        </w:rPr>
        <w:t>take this issue</w:t>
      </w:r>
      <w:r w:rsidR="009E3221" w:rsidRPr="007A0579">
        <w:rPr>
          <w:rFonts w:ascii="Verdana" w:hAnsi="Verdana" w:cs="Arial"/>
          <w:sz w:val="20"/>
          <w:szCs w:val="20"/>
        </w:rPr>
        <w:t xml:space="preserve"> forward</w:t>
      </w:r>
      <w:r w:rsidRPr="007A0579">
        <w:rPr>
          <w:rFonts w:ascii="Verdana" w:hAnsi="Verdana" w:cs="Arial"/>
          <w:sz w:val="20"/>
          <w:szCs w:val="20"/>
        </w:rPr>
        <w:t>.</w:t>
      </w:r>
    </w:p>
    <w:p w:rsidR="00D43476" w:rsidRPr="007A0579" w:rsidRDefault="00410414" w:rsidP="00B50947">
      <w:pPr>
        <w:numPr>
          <w:ilvl w:val="0"/>
          <w:numId w:val="9"/>
        </w:numPr>
        <w:autoSpaceDE w:val="0"/>
        <w:autoSpaceDN w:val="0"/>
        <w:adjustRightInd w:val="0"/>
        <w:ind w:left="426" w:hanging="284"/>
        <w:contextualSpacing/>
        <w:rPr>
          <w:rFonts w:ascii="Verdana" w:hAnsi="Verdana" w:cs="Arial"/>
          <w:sz w:val="20"/>
          <w:szCs w:val="20"/>
        </w:rPr>
      </w:pPr>
      <w:r w:rsidRPr="007A0579">
        <w:rPr>
          <w:rFonts w:ascii="Verdana" w:hAnsi="Verdana" w:cs="Arial"/>
          <w:sz w:val="20"/>
          <w:szCs w:val="20"/>
        </w:rPr>
        <w:t>Member</w:t>
      </w:r>
      <w:r w:rsidR="00B50947" w:rsidRPr="007A0579">
        <w:rPr>
          <w:rFonts w:ascii="Verdana" w:hAnsi="Verdana" w:cs="Arial"/>
          <w:sz w:val="20"/>
          <w:szCs w:val="20"/>
        </w:rPr>
        <w:t xml:space="preserve"> </w:t>
      </w:r>
      <w:r w:rsidR="00D66DD9" w:rsidRPr="007A0579">
        <w:rPr>
          <w:rFonts w:ascii="Verdana" w:hAnsi="Verdana" w:cs="Arial"/>
          <w:sz w:val="20"/>
          <w:szCs w:val="20"/>
        </w:rPr>
        <w:t xml:space="preserve">suggestions </w:t>
      </w:r>
      <w:r w:rsidR="00F262A4">
        <w:rPr>
          <w:rFonts w:ascii="Verdana" w:hAnsi="Verdana" w:cs="Arial"/>
          <w:sz w:val="20"/>
          <w:szCs w:val="20"/>
        </w:rPr>
        <w:t>which have been added</w:t>
      </w:r>
      <w:r w:rsidR="00D43476" w:rsidRPr="007A0579">
        <w:rPr>
          <w:rFonts w:ascii="Verdana" w:hAnsi="Verdana" w:cs="Arial"/>
          <w:sz w:val="20"/>
          <w:szCs w:val="20"/>
        </w:rPr>
        <w:t xml:space="preserve"> to the</w:t>
      </w:r>
      <w:r w:rsidR="00B50947" w:rsidRPr="007A0579">
        <w:rPr>
          <w:rFonts w:ascii="Verdana" w:hAnsi="Verdana" w:cs="Arial"/>
          <w:sz w:val="20"/>
          <w:szCs w:val="20"/>
        </w:rPr>
        <w:t xml:space="preserve"> </w:t>
      </w:r>
      <w:r w:rsidR="007A0579">
        <w:rPr>
          <w:rFonts w:ascii="Verdana" w:hAnsi="Verdana" w:cs="Arial"/>
          <w:sz w:val="20"/>
          <w:szCs w:val="20"/>
        </w:rPr>
        <w:t xml:space="preserve">LAPFF </w:t>
      </w:r>
      <w:r w:rsidR="00B50947" w:rsidRPr="007A0579">
        <w:rPr>
          <w:rFonts w:ascii="Verdana" w:hAnsi="Verdana" w:cs="Arial"/>
          <w:sz w:val="20"/>
          <w:szCs w:val="20"/>
        </w:rPr>
        <w:t>work plan in 2016</w:t>
      </w:r>
      <w:r w:rsidRPr="007A0579">
        <w:rPr>
          <w:rFonts w:ascii="Verdana" w:hAnsi="Verdana" w:cs="Arial"/>
          <w:sz w:val="20"/>
          <w:szCs w:val="20"/>
        </w:rPr>
        <w:t xml:space="preserve"> include</w:t>
      </w:r>
      <w:r w:rsidR="00B50947" w:rsidRPr="007A0579">
        <w:rPr>
          <w:rFonts w:ascii="Verdana" w:hAnsi="Verdana" w:cs="Arial"/>
          <w:sz w:val="20"/>
          <w:szCs w:val="20"/>
        </w:rPr>
        <w:t xml:space="preserve"> </w:t>
      </w:r>
    </w:p>
    <w:p w:rsidR="00D43476" w:rsidRPr="007A0579" w:rsidRDefault="00B50947" w:rsidP="00410414">
      <w:pPr>
        <w:pStyle w:val="ListParagraph"/>
        <w:numPr>
          <w:ilvl w:val="0"/>
          <w:numId w:val="11"/>
        </w:numPr>
        <w:autoSpaceDE w:val="0"/>
        <w:autoSpaceDN w:val="0"/>
        <w:adjustRightInd w:val="0"/>
        <w:ind w:hanging="294"/>
        <w:contextualSpacing/>
        <w:rPr>
          <w:rFonts w:ascii="Verdana" w:hAnsi="Verdana" w:cs="Arial"/>
        </w:rPr>
      </w:pPr>
      <w:r w:rsidRPr="007A0579">
        <w:rPr>
          <w:rFonts w:ascii="Verdana" w:eastAsiaTheme="minorHAnsi" w:hAnsi="Verdana" w:cs="Arial"/>
        </w:rPr>
        <w:t>a guide to co-fili</w:t>
      </w:r>
      <w:r w:rsidR="00410414" w:rsidRPr="007A0579">
        <w:rPr>
          <w:rFonts w:ascii="Verdana" w:hAnsi="Verdana" w:cs="Arial"/>
        </w:rPr>
        <w:t>ng shareholder resolutions</w:t>
      </w:r>
      <w:r w:rsidR="00D43476" w:rsidRPr="007A0579">
        <w:rPr>
          <w:rFonts w:ascii="Verdana" w:hAnsi="Verdana" w:cs="Arial"/>
        </w:rPr>
        <w:t xml:space="preserve"> </w:t>
      </w:r>
    </w:p>
    <w:p w:rsidR="00D43476" w:rsidRPr="007A0579" w:rsidRDefault="00D66DD9" w:rsidP="00410414">
      <w:pPr>
        <w:pStyle w:val="ListParagraph"/>
        <w:numPr>
          <w:ilvl w:val="0"/>
          <w:numId w:val="11"/>
        </w:numPr>
        <w:autoSpaceDE w:val="0"/>
        <w:autoSpaceDN w:val="0"/>
        <w:adjustRightInd w:val="0"/>
        <w:ind w:hanging="294"/>
        <w:contextualSpacing/>
        <w:rPr>
          <w:rFonts w:ascii="Verdana" w:hAnsi="Verdana" w:cs="Arial"/>
        </w:rPr>
      </w:pPr>
      <w:r w:rsidRPr="007A0579">
        <w:rPr>
          <w:rFonts w:ascii="Verdana" w:eastAsiaTheme="minorHAnsi" w:hAnsi="Verdana" w:cs="Arial"/>
        </w:rPr>
        <w:t xml:space="preserve">the </w:t>
      </w:r>
      <w:r w:rsidR="00B50947" w:rsidRPr="007A0579">
        <w:rPr>
          <w:rFonts w:ascii="Verdana" w:eastAsiaTheme="minorHAnsi" w:hAnsi="Verdana" w:cs="Arial"/>
        </w:rPr>
        <w:t>collation of informa</w:t>
      </w:r>
      <w:r w:rsidRPr="007A0579">
        <w:rPr>
          <w:rFonts w:ascii="Verdana" w:hAnsi="Verdana" w:cs="Arial"/>
        </w:rPr>
        <w:t>tion on pooling arrangements</w:t>
      </w:r>
      <w:r w:rsidR="00D43476" w:rsidRPr="007A0579">
        <w:rPr>
          <w:rFonts w:ascii="Verdana" w:hAnsi="Verdana" w:cs="Arial"/>
        </w:rPr>
        <w:t xml:space="preserve"> under development</w:t>
      </w:r>
      <w:r w:rsidR="00B50947" w:rsidRPr="007A0579">
        <w:rPr>
          <w:rFonts w:ascii="Verdana" w:eastAsiaTheme="minorHAnsi" w:hAnsi="Verdana" w:cs="Arial"/>
        </w:rPr>
        <w:t xml:space="preserve"> </w:t>
      </w:r>
    </w:p>
    <w:p w:rsidR="00D43476" w:rsidRPr="007A0579" w:rsidRDefault="00B50947" w:rsidP="00410414">
      <w:pPr>
        <w:pStyle w:val="ListParagraph"/>
        <w:numPr>
          <w:ilvl w:val="0"/>
          <w:numId w:val="11"/>
        </w:numPr>
        <w:autoSpaceDE w:val="0"/>
        <w:autoSpaceDN w:val="0"/>
        <w:adjustRightInd w:val="0"/>
        <w:ind w:hanging="294"/>
        <w:contextualSpacing/>
        <w:rPr>
          <w:rFonts w:ascii="Verdana" w:hAnsi="Verdana" w:cs="Arial"/>
        </w:rPr>
      </w:pPr>
      <w:r w:rsidRPr="007A0579">
        <w:rPr>
          <w:rFonts w:ascii="Verdana" w:eastAsiaTheme="minorHAnsi" w:hAnsi="Verdana" w:cs="Arial"/>
        </w:rPr>
        <w:t xml:space="preserve">engagement on cyber security </w:t>
      </w:r>
    </w:p>
    <w:p w:rsidR="00D43476" w:rsidRPr="007A0579" w:rsidRDefault="00410414" w:rsidP="00410414">
      <w:pPr>
        <w:pStyle w:val="ListParagraph"/>
        <w:numPr>
          <w:ilvl w:val="0"/>
          <w:numId w:val="11"/>
        </w:numPr>
        <w:autoSpaceDE w:val="0"/>
        <w:autoSpaceDN w:val="0"/>
        <w:adjustRightInd w:val="0"/>
        <w:ind w:hanging="294"/>
        <w:contextualSpacing/>
        <w:rPr>
          <w:rFonts w:ascii="Verdana" w:hAnsi="Verdana" w:cs="Arial"/>
        </w:rPr>
      </w:pPr>
      <w:r w:rsidRPr="007A0579">
        <w:rPr>
          <w:rFonts w:ascii="Verdana" w:eastAsiaTheme="minorHAnsi" w:hAnsi="Verdana" w:cs="Arial"/>
        </w:rPr>
        <w:t xml:space="preserve">engagement on </w:t>
      </w:r>
      <w:r w:rsidR="00B50947" w:rsidRPr="007A0579">
        <w:rPr>
          <w:rFonts w:ascii="Verdana" w:eastAsiaTheme="minorHAnsi" w:hAnsi="Verdana" w:cs="Arial"/>
        </w:rPr>
        <w:t xml:space="preserve">COP21 (climate change) </w:t>
      </w:r>
    </w:p>
    <w:p w:rsidR="00B50947" w:rsidRPr="007A0579" w:rsidRDefault="00D43476" w:rsidP="00D66DD9">
      <w:pPr>
        <w:pStyle w:val="ListParagraph"/>
        <w:numPr>
          <w:ilvl w:val="0"/>
          <w:numId w:val="13"/>
        </w:numPr>
        <w:autoSpaceDE w:val="0"/>
        <w:autoSpaceDN w:val="0"/>
        <w:adjustRightInd w:val="0"/>
        <w:ind w:left="426" w:hanging="284"/>
        <w:contextualSpacing/>
        <w:rPr>
          <w:rFonts w:ascii="Verdana" w:eastAsiaTheme="minorHAnsi" w:hAnsi="Verdana" w:cs="Arial"/>
        </w:rPr>
      </w:pPr>
      <w:r w:rsidRPr="007A0579">
        <w:rPr>
          <w:rFonts w:ascii="Verdana" w:hAnsi="Verdana" w:cs="Arial"/>
        </w:rPr>
        <w:t>S</w:t>
      </w:r>
      <w:r w:rsidR="00B50947" w:rsidRPr="007A0579">
        <w:rPr>
          <w:rFonts w:ascii="Verdana" w:eastAsiaTheme="minorHAnsi" w:hAnsi="Verdana" w:cs="Arial"/>
        </w:rPr>
        <w:t xml:space="preserve">coping papers </w:t>
      </w:r>
      <w:r w:rsidR="007A0579">
        <w:rPr>
          <w:rFonts w:ascii="Verdana" w:hAnsi="Verdana" w:cs="Arial"/>
        </w:rPr>
        <w:t>will</w:t>
      </w:r>
      <w:r w:rsidR="00B50947" w:rsidRPr="007A0579">
        <w:rPr>
          <w:rFonts w:ascii="Verdana" w:eastAsiaTheme="minorHAnsi" w:hAnsi="Verdana" w:cs="Arial"/>
        </w:rPr>
        <w:t xml:space="preserve"> be produced </w:t>
      </w:r>
      <w:r w:rsidRPr="007A0579">
        <w:rPr>
          <w:rFonts w:ascii="Verdana" w:hAnsi="Verdana" w:cs="Arial"/>
        </w:rPr>
        <w:t>on</w:t>
      </w:r>
      <w:r w:rsidR="00B50947" w:rsidRPr="007A0579">
        <w:rPr>
          <w:rFonts w:ascii="Verdana" w:eastAsiaTheme="minorHAnsi" w:hAnsi="Verdana" w:cs="Arial"/>
        </w:rPr>
        <w:t xml:space="preserve"> two larger projects</w:t>
      </w:r>
      <w:r w:rsidR="00D66DD9" w:rsidRPr="007A0579">
        <w:rPr>
          <w:rFonts w:ascii="Verdana" w:eastAsiaTheme="minorHAnsi" w:hAnsi="Verdana" w:cs="Arial"/>
        </w:rPr>
        <w:t xml:space="preserve"> proposed by members.</w:t>
      </w:r>
      <w:r w:rsidR="00B50947" w:rsidRPr="007A0579">
        <w:rPr>
          <w:rFonts w:ascii="Verdana" w:eastAsiaTheme="minorHAnsi" w:hAnsi="Verdana" w:cs="Arial"/>
        </w:rPr>
        <w:t xml:space="preserve"> </w:t>
      </w:r>
      <w:r w:rsidR="00D66DD9" w:rsidRPr="007A0579">
        <w:rPr>
          <w:rFonts w:ascii="Verdana" w:eastAsiaTheme="minorHAnsi" w:hAnsi="Verdana" w:cs="Arial"/>
        </w:rPr>
        <w:t>O</w:t>
      </w:r>
      <w:r w:rsidR="00B50947" w:rsidRPr="007A0579">
        <w:rPr>
          <w:rFonts w:ascii="Verdana" w:eastAsiaTheme="minorHAnsi" w:hAnsi="Verdana" w:cs="Arial"/>
        </w:rPr>
        <w:t xml:space="preserve">ne </w:t>
      </w:r>
      <w:r w:rsidR="00D66DD9" w:rsidRPr="007A0579">
        <w:rPr>
          <w:rFonts w:ascii="Verdana" w:eastAsiaTheme="minorHAnsi" w:hAnsi="Verdana" w:cs="Arial"/>
        </w:rPr>
        <w:t xml:space="preserve">is </w:t>
      </w:r>
      <w:r w:rsidR="00B50947" w:rsidRPr="007A0579">
        <w:rPr>
          <w:rFonts w:ascii="Verdana" w:eastAsiaTheme="minorHAnsi" w:hAnsi="Verdana" w:cs="Arial"/>
        </w:rPr>
        <w:t xml:space="preserve">a request that LAPFF provides focus/coordination for a collaboration on </w:t>
      </w:r>
      <w:r w:rsidR="007A0579">
        <w:rPr>
          <w:rFonts w:ascii="Verdana" w:eastAsiaTheme="minorHAnsi" w:hAnsi="Verdana" w:cs="Arial"/>
        </w:rPr>
        <w:t xml:space="preserve">the </w:t>
      </w:r>
      <w:r w:rsidR="00B50947" w:rsidRPr="007A0579">
        <w:rPr>
          <w:rFonts w:ascii="Verdana" w:eastAsiaTheme="minorHAnsi" w:hAnsi="Verdana" w:cs="Arial"/>
        </w:rPr>
        <w:t xml:space="preserve">disclosure </w:t>
      </w:r>
      <w:r w:rsidR="007A0579">
        <w:rPr>
          <w:rFonts w:ascii="Verdana" w:eastAsiaTheme="minorHAnsi" w:hAnsi="Verdana" w:cs="Arial"/>
        </w:rPr>
        <w:t xml:space="preserve">of </w:t>
      </w:r>
      <w:r w:rsidR="007A0579" w:rsidRPr="007A0579">
        <w:rPr>
          <w:rFonts w:ascii="Verdana" w:eastAsiaTheme="minorHAnsi" w:hAnsi="Verdana" w:cs="Arial"/>
        </w:rPr>
        <w:t xml:space="preserve">RI </w:t>
      </w:r>
      <w:r w:rsidR="007A0579">
        <w:rPr>
          <w:rFonts w:ascii="Verdana" w:eastAsiaTheme="minorHAnsi" w:hAnsi="Verdana" w:cs="Arial"/>
        </w:rPr>
        <w:t xml:space="preserve">activities undertaken </w:t>
      </w:r>
      <w:r w:rsidR="00B50947" w:rsidRPr="007A0579">
        <w:rPr>
          <w:rFonts w:ascii="Verdana" w:eastAsiaTheme="minorHAnsi" w:hAnsi="Verdana" w:cs="Arial"/>
        </w:rPr>
        <w:t>by Fund Managers</w:t>
      </w:r>
      <w:r w:rsidR="007A0579">
        <w:rPr>
          <w:rFonts w:ascii="Verdana" w:eastAsiaTheme="minorHAnsi" w:hAnsi="Verdana" w:cs="Arial"/>
        </w:rPr>
        <w:t xml:space="preserve"> on behalf of their clients</w:t>
      </w:r>
      <w:r w:rsidR="00410414" w:rsidRPr="007A0579">
        <w:rPr>
          <w:rFonts w:ascii="Verdana" w:hAnsi="Verdana" w:cs="Arial"/>
        </w:rPr>
        <w:t xml:space="preserve">. This request was submitted </w:t>
      </w:r>
      <w:r w:rsidR="00F262A4">
        <w:rPr>
          <w:rFonts w:ascii="Verdana" w:hAnsi="Verdana" w:cs="Arial"/>
        </w:rPr>
        <w:t xml:space="preserve">on behalf of LCPF and LPFA </w:t>
      </w:r>
      <w:r w:rsidR="00410414" w:rsidRPr="007A0579">
        <w:rPr>
          <w:rFonts w:ascii="Verdana" w:hAnsi="Verdana" w:cs="Arial"/>
        </w:rPr>
        <w:t xml:space="preserve">by the LPP I RI Officer and reflects that </w:t>
      </w:r>
      <w:r w:rsidR="00D66DD9" w:rsidRPr="007A0579">
        <w:rPr>
          <w:rFonts w:ascii="Verdana" w:eastAsiaTheme="minorHAnsi" w:hAnsi="Verdana" w:cs="Arial"/>
        </w:rPr>
        <w:t xml:space="preserve">LGPS </w:t>
      </w:r>
      <w:r w:rsidR="00B50947" w:rsidRPr="007A0579">
        <w:rPr>
          <w:rFonts w:ascii="Verdana" w:eastAsiaTheme="minorHAnsi" w:hAnsi="Verdana" w:cs="Arial"/>
        </w:rPr>
        <w:t xml:space="preserve">schemes </w:t>
      </w:r>
      <w:r w:rsidR="008C6DA0">
        <w:rPr>
          <w:rFonts w:ascii="Verdana" w:eastAsiaTheme="minorHAnsi" w:hAnsi="Verdana" w:cs="Arial"/>
        </w:rPr>
        <w:t xml:space="preserve">share </w:t>
      </w:r>
      <w:r w:rsidR="00B50947" w:rsidRPr="007A0579">
        <w:rPr>
          <w:rFonts w:ascii="Verdana" w:eastAsiaTheme="minorHAnsi" w:hAnsi="Verdana" w:cs="Arial"/>
        </w:rPr>
        <w:t xml:space="preserve">managers </w:t>
      </w:r>
      <w:r w:rsidR="007A0579">
        <w:rPr>
          <w:rFonts w:ascii="Verdana" w:eastAsiaTheme="minorHAnsi" w:hAnsi="Verdana" w:cs="Arial"/>
        </w:rPr>
        <w:t xml:space="preserve">and </w:t>
      </w:r>
      <w:r w:rsidR="008C6DA0">
        <w:rPr>
          <w:rFonts w:ascii="Verdana" w:eastAsiaTheme="minorHAnsi" w:hAnsi="Verdana" w:cs="Arial"/>
        </w:rPr>
        <w:t xml:space="preserve">have </w:t>
      </w:r>
      <w:r w:rsidR="00F262A4">
        <w:rPr>
          <w:rFonts w:ascii="Verdana" w:eastAsiaTheme="minorHAnsi" w:hAnsi="Verdana" w:cs="Arial"/>
        </w:rPr>
        <w:t>a</w:t>
      </w:r>
      <w:r w:rsidR="007A0579">
        <w:rPr>
          <w:rFonts w:ascii="Verdana" w:eastAsiaTheme="minorHAnsi" w:hAnsi="Verdana" w:cs="Arial"/>
        </w:rPr>
        <w:t xml:space="preserve"> common</w:t>
      </w:r>
      <w:r w:rsidR="00D66DD9" w:rsidRPr="007A0579">
        <w:rPr>
          <w:rFonts w:ascii="Verdana" w:eastAsiaTheme="minorHAnsi" w:hAnsi="Verdana" w:cs="Arial"/>
        </w:rPr>
        <w:t xml:space="preserve"> need to hold </w:t>
      </w:r>
      <w:r w:rsidR="007A0579">
        <w:rPr>
          <w:rFonts w:ascii="Verdana" w:eastAsiaTheme="minorHAnsi" w:hAnsi="Verdana" w:cs="Arial"/>
        </w:rPr>
        <w:t xml:space="preserve">them effectively </w:t>
      </w:r>
      <w:r w:rsidR="00D66DD9" w:rsidRPr="007A0579">
        <w:rPr>
          <w:rFonts w:ascii="Verdana" w:eastAsiaTheme="minorHAnsi" w:hAnsi="Verdana" w:cs="Arial"/>
        </w:rPr>
        <w:t>to account</w:t>
      </w:r>
      <w:r w:rsidR="00F262A4">
        <w:rPr>
          <w:rFonts w:ascii="Verdana" w:eastAsiaTheme="minorHAnsi" w:hAnsi="Verdana" w:cs="Arial"/>
        </w:rPr>
        <w:t xml:space="preserve"> for their RI efforts</w:t>
      </w:r>
      <w:r w:rsidR="00410414" w:rsidRPr="007A0579">
        <w:rPr>
          <w:rFonts w:ascii="Verdana" w:hAnsi="Verdana" w:cs="Arial"/>
        </w:rPr>
        <w:t>.</w:t>
      </w:r>
    </w:p>
    <w:p w:rsidR="00B50947" w:rsidRDefault="00B50947" w:rsidP="00B50947">
      <w:pPr>
        <w:numPr>
          <w:ilvl w:val="0"/>
          <w:numId w:val="9"/>
        </w:numPr>
        <w:autoSpaceDE w:val="0"/>
        <w:autoSpaceDN w:val="0"/>
        <w:adjustRightInd w:val="0"/>
        <w:ind w:left="426" w:hanging="284"/>
        <w:contextualSpacing/>
        <w:rPr>
          <w:rFonts w:ascii="Verdana" w:hAnsi="Verdana" w:cs="Arial"/>
          <w:sz w:val="20"/>
          <w:szCs w:val="20"/>
        </w:rPr>
      </w:pPr>
      <w:r w:rsidRPr="007A0579">
        <w:rPr>
          <w:rFonts w:ascii="Verdana" w:hAnsi="Verdana" w:cs="Arial"/>
          <w:sz w:val="20"/>
          <w:szCs w:val="20"/>
        </w:rPr>
        <w:t>Paul Spedding from Climate Tracker Initiative present</w:t>
      </w:r>
      <w:r w:rsidR="00D66DD9" w:rsidRPr="007A0579">
        <w:rPr>
          <w:rFonts w:ascii="Verdana" w:hAnsi="Verdana" w:cs="Arial"/>
          <w:sz w:val="20"/>
          <w:szCs w:val="20"/>
        </w:rPr>
        <w:t>ed</w:t>
      </w:r>
      <w:r w:rsidRPr="007A0579">
        <w:rPr>
          <w:rFonts w:ascii="Verdana" w:hAnsi="Verdana" w:cs="Arial"/>
          <w:sz w:val="20"/>
          <w:szCs w:val="20"/>
        </w:rPr>
        <w:t xml:space="preserve"> a paper commissioned by LAPFF on engagement with the Oil Coal and Gas sector. Very useful insights were given into the risks faced by the sector and the questions investors should be asking in relation to the sensitivity of business planning models and company valuations to oil prices and levels of demand. </w:t>
      </w:r>
    </w:p>
    <w:p w:rsidR="004C4754" w:rsidRPr="007A0579" w:rsidRDefault="004C4754" w:rsidP="008C6DA0">
      <w:pPr>
        <w:autoSpaceDE w:val="0"/>
        <w:autoSpaceDN w:val="0"/>
        <w:adjustRightInd w:val="0"/>
        <w:contextualSpacing/>
        <w:rPr>
          <w:rFonts w:ascii="Verdana" w:hAnsi="Verdana" w:cs="Arial"/>
          <w:sz w:val="20"/>
          <w:szCs w:val="20"/>
        </w:rPr>
      </w:pPr>
    </w:p>
    <w:p w:rsidR="00D66DD9" w:rsidRPr="00DF1DF9" w:rsidRDefault="00D66DD9" w:rsidP="00D66DD9">
      <w:pPr>
        <w:pStyle w:val="ListParagraph"/>
        <w:numPr>
          <w:ilvl w:val="0"/>
          <w:numId w:val="4"/>
        </w:numPr>
        <w:autoSpaceDE w:val="0"/>
        <w:autoSpaceDN w:val="0"/>
        <w:adjustRightInd w:val="0"/>
        <w:ind w:left="426" w:hanging="426"/>
        <w:jc w:val="both"/>
        <w:rPr>
          <w:rFonts w:ascii="Verdana" w:hAnsi="Verdana" w:cs="TT3BA2o00"/>
        </w:rPr>
      </w:pPr>
      <w:r w:rsidRPr="00DF1DF9">
        <w:rPr>
          <w:rFonts w:ascii="Verdana" w:hAnsi="Verdana" w:cs="TT3BA2o00"/>
        </w:rPr>
        <w:t>Shareholder Litigation</w:t>
      </w:r>
    </w:p>
    <w:p w:rsidR="00F262A4" w:rsidRPr="00DF1DF9" w:rsidRDefault="00F262A4" w:rsidP="00F262A4">
      <w:pPr>
        <w:autoSpaceDE w:val="0"/>
        <w:autoSpaceDN w:val="0"/>
        <w:adjustRightInd w:val="0"/>
        <w:rPr>
          <w:rFonts w:ascii="Verdana" w:hAnsi="Verdana" w:cs="Arial"/>
          <w:color w:val="000000"/>
          <w:sz w:val="20"/>
          <w:szCs w:val="20"/>
        </w:rPr>
      </w:pPr>
    </w:p>
    <w:p w:rsidR="00F262A4" w:rsidRPr="00DF1DF9" w:rsidRDefault="00F262A4" w:rsidP="00F262A4">
      <w:pPr>
        <w:autoSpaceDE w:val="0"/>
        <w:autoSpaceDN w:val="0"/>
        <w:adjustRightInd w:val="0"/>
        <w:rPr>
          <w:rFonts w:ascii="Verdana" w:hAnsi="Verdana" w:cs="Arial"/>
          <w:color w:val="000000"/>
          <w:sz w:val="20"/>
          <w:szCs w:val="20"/>
        </w:rPr>
      </w:pPr>
      <w:r w:rsidRPr="00DF1DF9">
        <w:rPr>
          <w:rFonts w:ascii="Verdana" w:hAnsi="Verdana" w:cs="Arial"/>
          <w:color w:val="000000"/>
          <w:sz w:val="20"/>
          <w:szCs w:val="20"/>
        </w:rPr>
        <w:t>LCPF is committed to maintaining an up to date understanding of any shareholder litigation it potentially has an interest in. Litigation offers a route for recovering financial losses where asset values have been diminished as a result of financial misconduct and also</w:t>
      </w:r>
      <w:r w:rsidRPr="00DF1DF9">
        <w:rPr>
          <w:rFonts w:ascii="Verdana" w:hAnsi="Verdana" w:cs="Arial"/>
          <w:sz w:val="20"/>
          <w:szCs w:val="20"/>
        </w:rPr>
        <w:t xml:space="preserve"> fulfils the commitment made by signatories to the PRI to </w:t>
      </w:r>
      <w:r w:rsidRPr="00DF1DF9">
        <w:rPr>
          <w:rFonts w:ascii="Verdana" w:hAnsi="Verdana" w:cs="Arial"/>
          <w:color w:val="000000"/>
          <w:sz w:val="20"/>
          <w:szCs w:val="20"/>
        </w:rPr>
        <w:t xml:space="preserve">engage with investee companies to improve standards of corporate governance. </w:t>
      </w:r>
    </w:p>
    <w:p w:rsidR="00F262A4" w:rsidRPr="00DF1DF9" w:rsidRDefault="00F262A4" w:rsidP="00574C33">
      <w:pPr>
        <w:rPr>
          <w:rFonts w:ascii="Verdana" w:hAnsi="Verdana"/>
          <w:sz w:val="20"/>
          <w:szCs w:val="20"/>
        </w:rPr>
      </w:pPr>
    </w:p>
    <w:p w:rsidR="00F262A4" w:rsidRPr="00DF1DF9" w:rsidRDefault="00F262A4" w:rsidP="00F262A4">
      <w:pPr>
        <w:autoSpaceDE w:val="0"/>
        <w:autoSpaceDN w:val="0"/>
        <w:adjustRightInd w:val="0"/>
        <w:rPr>
          <w:rFonts w:ascii="Verdana" w:hAnsi="Verdana"/>
          <w:bCs/>
          <w:color w:val="000000"/>
          <w:sz w:val="20"/>
          <w:szCs w:val="20"/>
        </w:rPr>
      </w:pPr>
      <w:r w:rsidRPr="00DF1DF9">
        <w:rPr>
          <w:rFonts w:ascii="Verdana" w:hAnsi="Verdana"/>
          <w:bCs/>
          <w:color w:val="000000"/>
          <w:sz w:val="20"/>
          <w:szCs w:val="20"/>
        </w:rPr>
        <w:t>The Fund receives securities litigation monitoring services at no cost from</w:t>
      </w:r>
      <w:r w:rsidRPr="00DF1DF9">
        <w:rPr>
          <w:rFonts w:ascii="Verdana" w:hAnsi="Verdana" w:cs="Arial"/>
          <w:color w:val="000000"/>
          <w:sz w:val="20"/>
          <w:szCs w:val="20"/>
        </w:rPr>
        <w:t xml:space="preserve"> two US law firms - </w:t>
      </w:r>
      <w:r w:rsidRPr="00DF1DF9">
        <w:rPr>
          <w:rFonts w:ascii="Verdana" w:hAnsi="Verdana"/>
          <w:bCs/>
          <w:color w:val="000000"/>
          <w:sz w:val="20"/>
          <w:szCs w:val="20"/>
        </w:rPr>
        <w:t>Barrack, Rodos and Bacine (BR&amp;B) and Robbins Geller Rudman and Dowd (RGRD) who ensure prospective actions are known about, the fund's interest (level of loss) is quantified and information is available as a basis for making decisions on an appropriate course of action given the risks, costs, benefits and deadlines involved in each case.</w:t>
      </w:r>
      <w:r w:rsidR="00B406AE">
        <w:rPr>
          <w:rFonts w:ascii="Verdana" w:hAnsi="Verdana"/>
          <w:bCs/>
          <w:color w:val="000000"/>
          <w:sz w:val="20"/>
          <w:szCs w:val="20"/>
        </w:rPr>
        <w:t xml:space="preserve"> These arrangements </w:t>
      </w:r>
      <w:r w:rsidR="00C6350D">
        <w:rPr>
          <w:rFonts w:ascii="Verdana" w:hAnsi="Verdana"/>
          <w:bCs/>
          <w:color w:val="000000"/>
          <w:sz w:val="20"/>
          <w:szCs w:val="20"/>
        </w:rPr>
        <w:t xml:space="preserve">continue on the Fund's behalf, managed </w:t>
      </w:r>
      <w:r w:rsidR="00B406AE">
        <w:rPr>
          <w:rFonts w:ascii="Verdana" w:hAnsi="Verdana"/>
          <w:bCs/>
          <w:color w:val="000000"/>
          <w:sz w:val="20"/>
          <w:szCs w:val="20"/>
        </w:rPr>
        <w:t>by LPP I.</w:t>
      </w:r>
    </w:p>
    <w:p w:rsidR="00F262A4" w:rsidRPr="00DF1DF9" w:rsidRDefault="00F262A4" w:rsidP="00574C33">
      <w:pPr>
        <w:rPr>
          <w:rFonts w:ascii="Verdana" w:hAnsi="Verdana"/>
          <w:sz w:val="20"/>
          <w:szCs w:val="20"/>
        </w:rPr>
      </w:pPr>
    </w:p>
    <w:p w:rsidR="004C04A4" w:rsidRDefault="00660C65" w:rsidP="00AC697F">
      <w:pPr>
        <w:pStyle w:val="Default"/>
        <w:rPr>
          <w:rFonts w:ascii="Verdana" w:hAnsi="Verdana"/>
          <w:color w:val="000000" w:themeColor="text1"/>
          <w:sz w:val="20"/>
          <w:szCs w:val="20"/>
        </w:rPr>
      </w:pPr>
      <w:r>
        <w:rPr>
          <w:rFonts w:ascii="Verdana" w:hAnsi="Verdana"/>
          <w:color w:val="000000" w:themeColor="text1"/>
          <w:sz w:val="20"/>
          <w:szCs w:val="20"/>
        </w:rPr>
        <w:t>The document at Appendix 1</w:t>
      </w:r>
      <w:r w:rsidR="008C6DA0" w:rsidRPr="00AC697F">
        <w:rPr>
          <w:rFonts w:ascii="Verdana" w:hAnsi="Verdana"/>
          <w:color w:val="000000" w:themeColor="text1"/>
          <w:sz w:val="20"/>
          <w:szCs w:val="20"/>
        </w:rPr>
        <w:t xml:space="preserve"> provides a brief summary </w:t>
      </w:r>
      <w:r w:rsidR="00D02CB0" w:rsidRPr="00AC697F">
        <w:rPr>
          <w:rFonts w:ascii="Verdana" w:hAnsi="Verdana"/>
          <w:color w:val="000000" w:themeColor="text1"/>
          <w:sz w:val="20"/>
          <w:szCs w:val="20"/>
        </w:rPr>
        <w:t xml:space="preserve">from BR&amp;B </w:t>
      </w:r>
      <w:r w:rsidR="008C6DA0" w:rsidRPr="00AC697F">
        <w:rPr>
          <w:rFonts w:ascii="Verdana" w:hAnsi="Verdana"/>
          <w:color w:val="000000" w:themeColor="text1"/>
          <w:sz w:val="20"/>
          <w:szCs w:val="20"/>
        </w:rPr>
        <w:t xml:space="preserve">of litigation </w:t>
      </w:r>
      <w:r w:rsidR="00D02CB0" w:rsidRPr="00AC697F">
        <w:rPr>
          <w:rFonts w:ascii="Verdana" w:hAnsi="Verdana"/>
          <w:color w:val="000000" w:themeColor="text1"/>
          <w:sz w:val="20"/>
          <w:szCs w:val="20"/>
        </w:rPr>
        <w:t xml:space="preserve">monitoring </w:t>
      </w:r>
      <w:r w:rsidR="008C6DA0" w:rsidRPr="00AC697F">
        <w:rPr>
          <w:rFonts w:ascii="Verdana" w:hAnsi="Verdana"/>
          <w:color w:val="000000" w:themeColor="text1"/>
          <w:sz w:val="20"/>
          <w:szCs w:val="20"/>
        </w:rPr>
        <w:t xml:space="preserve">during Q1 2016.  </w:t>
      </w:r>
      <w:r w:rsidR="00DF1DF9" w:rsidRPr="00AC697F">
        <w:rPr>
          <w:rFonts w:ascii="Verdana" w:hAnsi="Verdana"/>
          <w:color w:val="000000" w:themeColor="text1"/>
          <w:sz w:val="20"/>
          <w:szCs w:val="20"/>
        </w:rPr>
        <w:t>R</w:t>
      </w:r>
      <w:r w:rsidR="008C6DA0" w:rsidRPr="00AC697F">
        <w:rPr>
          <w:rFonts w:ascii="Verdana" w:hAnsi="Verdana"/>
          <w:color w:val="000000" w:themeColor="text1"/>
          <w:sz w:val="20"/>
          <w:szCs w:val="20"/>
        </w:rPr>
        <w:t>eference</w:t>
      </w:r>
      <w:r w:rsidR="00DF1DF9" w:rsidRPr="00AC697F">
        <w:rPr>
          <w:rFonts w:ascii="Verdana" w:hAnsi="Verdana"/>
          <w:color w:val="000000" w:themeColor="text1"/>
          <w:sz w:val="20"/>
          <w:szCs w:val="20"/>
        </w:rPr>
        <w:t xml:space="preserve"> is made</w:t>
      </w:r>
      <w:r w:rsidR="008C6DA0" w:rsidRPr="00AC697F">
        <w:rPr>
          <w:rFonts w:ascii="Verdana" w:hAnsi="Verdana"/>
          <w:color w:val="000000" w:themeColor="text1"/>
          <w:sz w:val="20"/>
          <w:szCs w:val="20"/>
        </w:rPr>
        <w:t xml:space="preserve"> to </w:t>
      </w:r>
      <w:r w:rsidR="007A4F54" w:rsidRPr="00AC697F">
        <w:rPr>
          <w:rFonts w:ascii="Verdana" w:hAnsi="Verdana"/>
          <w:color w:val="000000" w:themeColor="text1"/>
          <w:sz w:val="20"/>
          <w:szCs w:val="20"/>
        </w:rPr>
        <w:t>LCPF</w:t>
      </w:r>
      <w:r w:rsidR="008C6DA0" w:rsidRPr="00AC697F">
        <w:rPr>
          <w:rFonts w:ascii="Verdana" w:hAnsi="Verdana"/>
          <w:color w:val="000000" w:themeColor="text1"/>
          <w:sz w:val="20"/>
          <w:szCs w:val="20"/>
        </w:rPr>
        <w:t xml:space="preserve"> having received a distribution from </w:t>
      </w:r>
      <w:r w:rsidR="00D02CB0" w:rsidRPr="00AC697F">
        <w:rPr>
          <w:rFonts w:ascii="Verdana" w:hAnsi="Verdana"/>
          <w:color w:val="000000" w:themeColor="text1"/>
          <w:sz w:val="20"/>
          <w:szCs w:val="20"/>
        </w:rPr>
        <w:t>a</w:t>
      </w:r>
      <w:r w:rsidR="008C6DA0" w:rsidRPr="00AC697F">
        <w:rPr>
          <w:rFonts w:ascii="Verdana" w:hAnsi="Verdana"/>
          <w:color w:val="000000" w:themeColor="text1"/>
          <w:sz w:val="20"/>
          <w:szCs w:val="20"/>
        </w:rPr>
        <w:t xml:space="preserve"> settlement fund</w:t>
      </w:r>
      <w:r w:rsidR="00AC697F">
        <w:rPr>
          <w:rFonts w:ascii="Verdana" w:hAnsi="Verdana"/>
          <w:color w:val="000000" w:themeColor="text1"/>
          <w:sz w:val="20"/>
          <w:szCs w:val="20"/>
        </w:rPr>
        <w:t xml:space="preserve">. This </w:t>
      </w:r>
      <w:r w:rsidR="008C6DA0" w:rsidRPr="00AC697F">
        <w:rPr>
          <w:rFonts w:ascii="Verdana" w:hAnsi="Verdana"/>
          <w:color w:val="000000" w:themeColor="text1"/>
          <w:sz w:val="20"/>
          <w:szCs w:val="20"/>
        </w:rPr>
        <w:t>relat</w:t>
      </w:r>
      <w:r w:rsidR="007A4F54" w:rsidRPr="00AC697F">
        <w:rPr>
          <w:rFonts w:ascii="Verdana" w:hAnsi="Verdana"/>
          <w:color w:val="000000" w:themeColor="text1"/>
          <w:sz w:val="20"/>
          <w:szCs w:val="20"/>
        </w:rPr>
        <w:t>e</w:t>
      </w:r>
      <w:r w:rsidR="00AC697F">
        <w:rPr>
          <w:rFonts w:ascii="Verdana" w:hAnsi="Verdana"/>
          <w:color w:val="000000" w:themeColor="text1"/>
          <w:sz w:val="20"/>
          <w:szCs w:val="20"/>
        </w:rPr>
        <w:t>s</w:t>
      </w:r>
      <w:r w:rsidR="00D02CB0" w:rsidRPr="00AC697F">
        <w:rPr>
          <w:rFonts w:ascii="Verdana" w:hAnsi="Verdana"/>
          <w:color w:val="000000" w:themeColor="text1"/>
          <w:sz w:val="20"/>
          <w:szCs w:val="20"/>
        </w:rPr>
        <w:t xml:space="preserve"> to an </w:t>
      </w:r>
      <w:r w:rsidR="008C6DA0" w:rsidRPr="00AC697F">
        <w:rPr>
          <w:rFonts w:ascii="Verdana" w:hAnsi="Verdana"/>
          <w:color w:val="000000" w:themeColor="text1"/>
          <w:sz w:val="20"/>
          <w:szCs w:val="20"/>
        </w:rPr>
        <w:t xml:space="preserve">action against </w:t>
      </w:r>
      <w:r w:rsidR="00D02CB0" w:rsidRPr="00AC697F">
        <w:rPr>
          <w:rFonts w:ascii="Verdana" w:eastAsiaTheme="minorHAnsi" w:hAnsi="Verdana" w:cs="Calibri"/>
          <w:color w:val="000000" w:themeColor="text1"/>
          <w:sz w:val="20"/>
          <w:szCs w:val="20"/>
          <w:lang w:eastAsia="en-US"/>
        </w:rPr>
        <w:t xml:space="preserve">Bain Capital Partners </w:t>
      </w:r>
      <w:r w:rsidR="007A4F54" w:rsidRPr="00AC697F">
        <w:rPr>
          <w:rFonts w:ascii="Verdana" w:eastAsiaTheme="minorHAnsi" w:hAnsi="Verdana" w:cs="Calibri"/>
          <w:color w:val="000000" w:themeColor="text1"/>
          <w:sz w:val="20"/>
          <w:szCs w:val="20"/>
          <w:lang w:eastAsia="en-US"/>
        </w:rPr>
        <w:t>LLC/Aramark Corp</w:t>
      </w:r>
      <w:r w:rsidR="00AC697F">
        <w:rPr>
          <w:rFonts w:ascii="Verdana" w:eastAsiaTheme="minorHAnsi" w:hAnsi="Verdana" w:cs="Calibri"/>
          <w:color w:val="000000" w:themeColor="text1"/>
          <w:sz w:val="20"/>
          <w:szCs w:val="20"/>
          <w:lang w:eastAsia="en-US"/>
        </w:rPr>
        <w:t xml:space="preserve">. </w:t>
      </w:r>
      <w:r w:rsidR="004C04A4">
        <w:rPr>
          <w:rFonts w:ascii="Verdana" w:eastAsiaTheme="minorHAnsi" w:hAnsi="Verdana" w:cs="Calibri"/>
          <w:color w:val="000000" w:themeColor="text1"/>
          <w:sz w:val="20"/>
          <w:szCs w:val="20"/>
          <w:lang w:eastAsia="en-US"/>
        </w:rPr>
        <w:t>as</w:t>
      </w:r>
      <w:r w:rsidR="00D02CB0" w:rsidRPr="00AC697F">
        <w:rPr>
          <w:rFonts w:ascii="Verdana" w:eastAsiaTheme="minorHAnsi" w:hAnsi="Verdana" w:cs="Calibri"/>
          <w:color w:val="000000" w:themeColor="text1"/>
          <w:sz w:val="20"/>
          <w:szCs w:val="20"/>
          <w:lang w:eastAsia="en-US"/>
        </w:rPr>
        <w:t xml:space="preserve"> part of a large </w:t>
      </w:r>
      <w:r w:rsidR="00D02CB0" w:rsidRPr="00AC697F">
        <w:rPr>
          <w:rFonts w:ascii="Verdana" w:hAnsi="Verdana"/>
          <w:color w:val="000000" w:themeColor="text1"/>
          <w:sz w:val="20"/>
          <w:szCs w:val="20"/>
        </w:rPr>
        <w:t xml:space="preserve">antitrust class action </w:t>
      </w:r>
      <w:r w:rsidR="004C04A4">
        <w:rPr>
          <w:rFonts w:ascii="Verdana" w:hAnsi="Verdana"/>
          <w:color w:val="000000" w:themeColor="text1"/>
          <w:sz w:val="20"/>
          <w:szCs w:val="20"/>
        </w:rPr>
        <w:t xml:space="preserve">that </w:t>
      </w:r>
      <w:r w:rsidR="00AC697F">
        <w:rPr>
          <w:rFonts w:ascii="Verdana" w:hAnsi="Verdana"/>
          <w:color w:val="000000" w:themeColor="text1"/>
          <w:sz w:val="20"/>
          <w:szCs w:val="20"/>
        </w:rPr>
        <w:t>contend</w:t>
      </w:r>
      <w:r w:rsidR="004C04A4">
        <w:rPr>
          <w:rFonts w:ascii="Verdana" w:hAnsi="Verdana"/>
          <w:color w:val="000000" w:themeColor="text1"/>
          <w:sz w:val="20"/>
          <w:szCs w:val="20"/>
        </w:rPr>
        <w:t>ed</w:t>
      </w:r>
      <w:r w:rsidR="00D02CB0" w:rsidRPr="00AC697F">
        <w:rPr>
          <w:rFonts w:ascii="Verdana" w:hAnsi="Verdana"/>
          <w:color w:val="000000" w:themeColor="text1"/>
          <w:sz w:val="20"/>
          <w:szCs w:val="20"/>
        </w:rPr>
        <w:t xml:space="preserve"> private equity firms </w:t>
      </w:r>
      <w:r w:rsidR="004C04A4">
        <w:rPr>
          <w:rFonts w:ascii="Verdana" w:hAnsi="Verdana"/>
          <w:color w:val="000000" w:themeColor="text1"/>
          <w:sz w:val="20"/>
          <w:szCs w:val="20"/>
        </w:rPr>
        <w:t xml:space="preserve">had </w:t>
      </w:r>
      <w:r w:rsidR="00D02CB0" w:rsidRPr="00AC697F">
        <w:rPr>
          <w:rFonts w:ascii="Verdana" w:hAnsi="Verdana"/>
          <w:color w:val="000000" w:themeColor="text1"/>
          <w:sz w:val="20"/>
          <w:szCs w:val="20"/>
        </w:rPr>
        <w:t>suppressed competition in certain leveraged b</w:t>
      </w:r>
      <w:r w:rsidR="004C04A4">
        <w:rPr>
          <w:rFonts w:ascii="Verdana" w:hAnsi="Verdana"/>
          <w:color w:val="000000" w:themeColor="text1"/>
          <w:sz w:val="20"/>
          <w:szCs w:val="20"/>
        </w:rPr>
        <w:t>uyouts (“LBOs”) from 2003- 2007</w:t>
      </w:r>
      <w:r w:rsidR="00D02CB0" w:rsidRPr="00AC697F">
        <w:rPr>
          <w:rFonts w:ascii="Verdana" w:hAnsi="Verdana"/>
          <w:color w:val="000000" w:themeColor="text1"/>
          <w:sz w:val="20"/>
          <w:szCs w:val="20"/>
        </w:rPr>
        <w:t xml:space="preserve"> </w:t>
      </w:r>
      <w:r w:rsidR="00AC697F">
        <w:rPr>
          <w:rFonts w:ascii="Verdana" w:hAnsi="Verdana"/>
          <w:color w:val="000000" w:themeColor="text1"/>
          <w:sz w:val="20"/>
          <w:szCs w:val="20"/>
        </w:rPr>
        <w:t>which resulted in</w:t>
      </w:r>
      <w:r w:rsidR="00D02CB0" w:rsidRPr="00AC697F">
        <w:rPr>
          <w:rFonts w:ascii="Verdana" w:hAnsi="Verdana"/>
          <w:color w:val="000000" w:themeColor="text1"/>
          <w:sz w:val="20"/>
          <w:szCs w:val="20"/>
        </w:rPr>
        <w:t xml:space="preserve"> shareholders </w:t>
      </w:r>
      <w:r w:rsidR="00AC697F">
        <w:rPr>
          <w:rFonts w:ascii="Verdana" w:hAnsi="Verdana"/>
          <w:color w:val="000000" w:themeColor="text1"/>
          <w:sz w:val="20"/>
          <w:szCs w:val="20"/>
        </w:rPr>
        <w:t xml:space="preserve">being </w:t>
      </w:r>
      <w:r w:rsidR="00AC697F" w:rsidRPr="00AC697F">
        <w:rPr>
          <w:rFonts w:ascii="Verdana" w:hAnsi="Verdana"/>
          <w:color w:val="000000" w:themeColor="text1"/>
          <w:sz w:val="20"/>
          <w:szCs w:val="20"/>
        </w:rPr>
        <w:t xml:space="preserve">paid </w:t>
      </w:r>
      <w:r w:rsidR="00AC697F">
        <w:rPr>
          <w:rFonts w:ascii="Verdana" w:hAnsi="Verdana"/>
          <w:color w:val="000000" w:themeColor="text1"/>
          <w:sz w:val="20"/>
          <w:szCs w:val="20"/>
        </w:rPr>
        <w:t>a reduced amount</w:t>
      </w:r>
      <w:r w:rsidR="00D02CB0" w:rsidRPr="00AC697F">
        <w:rPr>
          <w:rFonts w:ascii="Verdana" w:hAnsi="Verdana"/>
          <w:color w:val="000000" w:themeColor="text1"/>
          <w:sz w:val="20"/>
          <w:szCs w:val="20"/>
        </w:rPr>
        <w:t xml:space="preserve"> per share for their stock holdings. </w:t>
      </w:r>
      <w:r w:rsidR="008C6DA0" w:rsidRPr="00AC697F">
        <w:rPr>
          <w:rFonts w:ascii="Verdana" w:hAnsi="Verdana"/>
          <w:color w:val="000000" w:themeColor="text1"/>
          <w:sz w:val="20"/>
          <w:szCs w:val="20"/>
        </w:rPr>
        <w:t xml:space="preserve">The recovery </w:t>
      </w:r>
      <w:r w:rsidR="00D02CB0" w:rsidRPr="00AC697F">
        <w:rPr>
          <w:rFonts w:ascii="Verdana" w:hAnsi="Verdana"/>
          <w:color w:val="000000" w:themeColor="text1"/>
          <w:sz w:val="20"/>
          <w:szCs w:val="20"/>
        </w:rPr>
        <w:t xml:space="preserve">received by LCPF </w:t>
      </w:r>
      <w:r w:rsidR="00B406AE">
        <w:rPr>
          <w:rFonts w:ascii="Verdana" w:hAnsi="Verdana"/>
          <w:color w:val="000000" w:themeColor="text1"/>
          <w:sz w:val="20"/>
          <w:szCs w:val="20"/>
        </w:rPr>
        <w:t xml:space="preserve">in January 2016 </w:t>
      </w:r>
      <w:r w:rsidR="008C6DA0" w:rsidRPr="00AC697F">
        <w:rPr>
          <w:rFonts w:ascii="Verdana" w:hAnsi="Verdana"/>
          <w:color w:val="000000" w:themeColor="text1"/>
          <w:sz w:val="20"/>
          <w:szCs w:val="20"/>
        </w:rPr>
        <w:t>was $</w:t>
      </w:r>
      <w:r w:rsidR="00D02CB0" w:rsidRPr="00AC697F">
        <w:rPr>
          <w:rFonts w:ascii="Verdana" w:hAnsi="Verdana"/>
          <w:color w:val="000000" w:themeColor="text1"/>
          <w:sz w:val="20"/>
          <w:szCs w:val="20"/>
        </w:rPr>
        <w:t>146.83</w:t>
      </w:r>
      <w:r w:rsidR="008C6DA0" w:rsidRPr="00AC697F">
        <w:rPr>
          <w:rFonts w:ascii="Verdana" w:hAnsi="Verdana"/>
          <w:color w:val="000000" w:themeColor="text1"/>
          <w:sz w:val="20"/>
          <w:szCs w:val="20"/>
        </w:rPr>
        <w:t>.</w:t>
      </w:r>
      <w:r w:rsidR="007A4F54" w:rsidRPr="00AC697F">
        <w:rPr>
          <w:rFonts w:ascii="Verdana" w:hAnsi="Verdana"/>
          <w:color w:val="000000" w:themeColor="text1"/>
          <w:sz w:val="20"/>
          <w:szCs w:val="20"/>
        </w:rPr>
        <w:t xml:space="preserve"> </w:t>
      </w:r>
    </w:p>
    <w:p w:rsidR="00AC697F" w:rsidRDefault="007A4F54" w:rsidP="00AC697F">
      <w:pPr>
        <w:pStyle w:val="Default"/>
        <w:rPr>
          <w:rFonts w:ascii="Verdana" w:eastAsiaTheme="minorHAnsi" w:hAnsi="Verdana" w:cs="Times New Roman"/>
          <w:color w:val="000000" w:themeColor="text1"/>
          <w:sz w:val="20"/>
          <w:szCs w:val="20"/>
          <w:lang w:val="en-US" w:eastAsia="en-US"/>
        </w:rPr>
      </w:pPr>
      <w:r w:rsidRPr="00AC697F">
        <w:rPr>
          <w:rFonts w:ascii="Verdana" w:hAnsi="Verdana"/>
          <w:color w:val="000000" w:themeColor="text1"/>
          <w:sz w:val="20"/>
          <w:szCs w:val="20"/>
        </w:rPr>
        <w:t xml:space="preserve">Appendix </w:t>
      </w:r>
      <w:r w:rsidR="00660C65">
        <w:rPr>
          <w:rFonts w:ascii="Verdana" w:hAnsi="Verdana"/>
          <w:color w:val="000000" w:themeColor="text1"/>
          <w:sz w:val="20"/>
          <w:szCs w:val="20"/>
        </w:rPr>
        <w:t>1</w:t>
      </w:r>
      <w:r w:rsidRPr="00AC697F">
        <w:rPr>
          <w:rFonts w:ascii="Verdana" w:hAnsi="Verdana"/>
          <w:color w:val="000000" w:themeColor="text1"/>
          <w:sz w:val="20"/>
          <w:szCs w:val="20"/>
        </w:rPr>
        <w:t xml:space="preserve"> also makes reference to </w:t>
      </w:r>
      <w:r w:rsidRPr="007A4F54">
        <w:rPr>
          <w:rFonts w:ascii="Verdana" w:hAnsi="Verdana" w:cs="Cambria"/>
          <w:color w:val="000000" w:themeColor="text1"/>
          <w:sz w:val="20"/>
          <w:szCs w:val="20"/>
        </w:rPr>
        <w:t xml:space="preserve">a claim </w:t>
      </w:r>
      <w:r w:rsidRPr="00AC697F">
        <w:rPr>
          <w:rFonts w:ascii="Verdana" w:hAnsi="Verdana" w:cs="Cambria"/>
          <w:color w:val="000000" w:themeColor="text1"/>
          <w:sz w:val="20"/>
          <w:szCs w:val="20"/>
        </w:rPr>
        <w:t xml:space="preserve">filed </w:t>
      </w:r>
      <w:r w:rsidR="00AC697F">
        <w:rPr>
          <w:rFonts w:ascii="Verdana" w:hAnsi="Verdana" w:cs="Cambria"/>
          <w:color w:val="000000" w:themeColor="text1"/>
          <w:sz w:val="20"/>
          <w:szCs w:val="20"/>
        </w:rPr>
        <w:t>by the</w:t>
      </w:r>
      <w:r w:rsidRPr="007A4F54">
        <w:rPr>
          <w:rFonts w:ascii="Verdana" w:hAnsi="Verdana" w:cs="Cambria"/>
          <w:color w:val="000000" w:themeColor="text1"/>
          <w:sz w:val="20"/>
          <w:szCs w:val="20"/>
        </w:rPr>
        <w:t xml:space="preserve"> Fu</w:t>
      </w:r>
      <w:r w:rsidRPr="00AC697F">
        <w:rPr>
          <w:rFonts w:ascii="Verdana" w:hAnsi="Verdana" w:cs="Cambria"/>
          <w:color w:val="000000" w:themeColor="text1"/>
          <w:sz w:val="20"/>
          <w:szCs w:val="20"/>
        </w:rPr>
        <w:t xml:space="preserve">nd’s </w:t>
      </w:r>
      <w:r w:rsidR="00D02CB0" w:rsidRPr="00AC697F">
        <w:rPr>
          <w:rFonts w:ascii="Verdana" w:hAnsi="Verdana" w:cs="Cambria"/>
          <w:color w:val="000000" w:themeColor="text1"/>
          <w:sz w:val="20"/>
          <w:szCs w:val="20"/>
        </w:rPr>
        <w:t>custodian</w:t>
      </w:r>
      <w:r w:rsidR="00B406AE">
        <w:rPr>
          <w:rFonts w:ascii="Verdana" w:hAnsi="Verdana" w:cs="Cambria"/>
          <w:color w:val="000000" w:themeColor="text1"/>
          <w:sz w:val="20"/>
          <w:szCs w:val="20"/>
        </w:rPr>
        <w:t xml:space="preserve"> which</w:t>
      </w:r>
      <w:r w:rsidR="00AC697F">
        <w:rPr>
          <w:rFonts w:ascii="Verdana" w:hAnsi="Verdana" w:cs="Cambria"/>
          <w:color w:val="000000" w:themeColor="text1"/>
          <w:sz w:val="20"/>
          <w:szCs w:val="20"/>
        </w:rPr>
        <w:t xml:space="preserve"> </w:t>
      </w:r>
      <w:r w:rsidRPr="00AC697F">
        <w:rPr>
          <w:rFonts w:ascii="Verdana" w:hAnsi="Verdana" w:cs="Cambria"/>
          <w:color w:val="000000" w:themeColor="text1"/>
          <w:sz w:val="20"/>
          <w:szCs w:val="20"/>
        </w:rPr>
        <w:t xml:space="preserve">relates to </w:t>
      </w:r>
      <w:r w:rsidR="00D02CB0" w:rsidRPr="00AC697F">
        <w:rPr>
          <w:rFonts w:ascii="Verdana" w:hAnsi="Verdana" w:cs="Cambria"/>
          <w:color w:val="000000" w:themeColor="text1"/>
          <w:sz w:val="20"/>
          <w:szCs w:val="20"/>
        </w:rPr>
        <w:t xml:space="preserve">a case against </w:t>
      </w:r>
      <w:r w:rsidR="00D02CB0" w:rsidRPr="00AC697F">
        <w:rPr>
          <w:rFonts w:ascii="Verdana" w:hAnsi="Verdana"/>
          <w:iCs/>
          <w:color w:val="000000" w:themeColor="text1"/>
          <w:sz w:val="20"/>
          <w:szCs w:val="20"/>
        </w:rPr>
        <w:t>ITT Educati</w:t>
      </w:r>
      <w:r w:rsidR="004C04A4">
        <w:rPr>
          <w:rFonts w:ascii="Verdana" w:hAnsi="Verdana"/>
          <w:iCs/>
          <w:color w:val="000000" w:themeColor="text1"/>
          <w:sz w:val="20"/>
          <w:szCs w:val="20"/>
        </w:rPr>
        <w:t xml:space="preserve">onal Services </w:t>
      </w:r>
      <w:r w:rsidR="00D02CB0" w:rsidRPr="00AC697F">
        <w:rPr>
          <w:rFonts w:ascii="Verdana" w:hAnsi="Verdana"/>
          <w:iCs/>
          <w:color w:val="000000" w:themeColor="text1"/>
          <w:sz w:val="20"/>
          <w:szCs w:val="20"/>
        </w:rPr>
        <w:t>Inc.</w:t>
      </w:r>
      <w:r w:rsidR="00AC697F" w:rsidRPr="00AC697F">
        <w:rPr>
          <w:rFonts w:ascii="Verdana" w:hAnsi="Verdana"/>
          <w:color w:val="000000" w:themeColor="text1"/>
          <w:sz w:val="20"/>
          <w:szCs w:val="20"/>
        </w:rPr>
        <w:t xml:space="preserve"> </w:t>
      </w:r>
      <w:r w:rsidR="00AC697F">
        <w:rPr>
          <w:rFonts w:ascii="Verdana" w:hAnsi="Verdana"/>
          <w:color w:val="000000" w:themeColor="text1"/>
          <w:sz w:val="20"/>
          <w:szCs w:val="20"/>
        </w:rPr>
        <w:t>involv</w:t>
      </w:r>
      <w:r w:rsidR="00B406AE">
        <w:rPr>
          <w:rFonts w:ascii="Verdana" w:hAnsi="Verdana"/>
          <w:color w:val="000000" w:themeColor="text1"/>
          <w:sz w:val="20"/>
          <w:szCs w:val="20"/>
        </w:rPr>
        <w:t>ing</w:t>
      </w:r>
      <w:r w:rsidR="00AC697F" w:rsidRPr="00AC697F">
        <w:rPr>
          <w:rFonts w:ascii="Verdana" w:hAnsi="Verdana"/>
          <w:color w:val="000000" w:themeColor="text1"/>
          <w:sz w:val="20"/>
          <w:szCs w:val="20"/>
        </w:rPr>
        <w:t xml:space="preserve"> alleged material misrepresentations and omissions concerning </w:t>
      </w:r>
      <w:r w:rsidR="00B406AE">
        <w:rPr>
          <w:rFonts w:ascii="Verdana" w:hAnsi="Verdana"/>
          <w:color w:val="000000" w:themeColor="text1"/>
          <w:sz w:val="20"/>
          <w:szCs w:val="20"/>
        </w:rPr>
        <w:t xml:space="preserve">the company's </w:t>
      </w:r>
      <w:r w:rsidR="00AC697F" w:rsidRPr="00AC697F">
        <w:rPr>
          <w:rFonts w:ascii="Verdana" w:hAnsi="Verdana"/>
          <w:color w:val="000000" w:themeColor="text1"/>
          <w:sz w:val="20"/>
          <w:szCs w:val="20"/>
        </w:rPr>
        <w:t xml:space="preserve">liabilities </w:t>
      </w:r>
      <w:r w:rsidR="00AC697F" w:rsidRPr="00AC697F">
        <w:rPr>
          <w:rFonts w:ascii="Verdana" w:eastAsiaTheme="minorHAnsi" w:hAnsi="Verdana" w:cs="Times New Roman"/>
          <w:color w:val="000000" w:themeColor="text1"/>
          <w:sz w:val="20"/>
          <w:szCs w:val="20"/>
          <w:lang w:val="en-US" w:eastAsia="en-US"/>
        </w:rPr>
        <w:t xml:space="preserve">and </w:t>
      </w:r>
      <w:r w:rsidR="00411EC7">
        <w:rPr>
          <w:rFonts w:ascii="Verdana" w:eastAsiaTheme="minorHAnsi" w:hAnsi="Verdana" w:cs="Times New Roman"/>
          <w:color w:val="000000" w:themeColor="text1"/>
          <w:sz w:val="20"/>
          <w:szCs w:val="20"/>
          <w:lang w:val="en-US" w:eastAsia="en-US"/>
        </w:rPr>
        <w:t xml:space="preserve">its </w:t>
      </w:r>
      <w:r w:rsidR="00AC697F" w:rsidRPr="00AC697F">
        <w:rPr>
          <w:rFonts w:ascii="Verdana" w:eastAsiaTheme="minorHAnsi" w:hAnsi="Verdana" w:cs="Times New Roman"/>
          <w:color w:val="000000" w:themeColor="text1"/>
          <w:sz w:val="20"/>
          <w:szCs w:val="20"/>
          <w:lang w:val="en-US" w:eastAsia="en-US"/>
        </w:rPr>
        <w:t>failure to disclose that financial statements contained errors reflect</w:t>
      </w:r>
      <w:r w:rsidR="00411EC7">
        <w:rPr>
          <w:rFonts w:ascii="Verdana" w:eastAsiaTheme="minorHAnsi" w:hAnsi="Verdana" w:cs="Times New Roman"/>
          <w:color w:val="000000" w:themeColor="text1"/>
          <w:sz w:val="20"/>
          <w:szCs w:val="20"/>
          <w:lang w:val="en-US" w:eastAsia="en-US"/>
        </w:rPr>
        <w:t>ing</w:t>
      </w:r>
      <w:r w:rsidR="00AC697F" w:rsidRPr="00AC697F">
        <w:rPr>
          <w:rFonts w:ascii="Verdana" w:eastAsiaTheme="minorHAnsi" w:hAnsi="Verdana" w:cs="Times New Roman"/>
          <w:color w:val="000000" w:themeColor="text1"/>
          <w:sz w:val="20"/>
          <w:szCs w:val="20"/>
          <w:lang w:val="en-US" w:eastAsia="en-US"/>
        </w:rPr>
        <w:t xml:space="preserve"> a lack of adequate internal controls over financial reporting.</w:t>
      </w:r>
      <w:r w:rsidR="004C04A4">
        <w:rPr>
          <w:rFonts w:ascii="Verdana" w:eastAsiaTheme="minorHAnsi" w:hAnsi="Verdana" w:cs="Times New Roman"/>
          <w:color w:val="000000" w:themeColor="text1"/>
          <w:sz w:val="20"/>
          <w:szCs w:val="20"/>
          <w:lang w:val="en-US" w:eastAsia="en-US"/>
        </w:rPr>
        <w:t xml:space="preserve"> The committee will be informed about any recovery from this action in due course.</w:t>
      </w:r>
      <w:r w:rsidR="00AC697F" w:rsidRPr="00AC697F">
        <w:rPr>
          <w:rFonts w:ascii="Verdana" w:eastAsiaTheme="minorHAnsi" w:hAnsi="Verdana" w:cs="Times New Roman"/>
          <w:color w:val="000000" w:themeColor="text1"/>
          <w:sz w:val="20"/>
          <w:szCs w:val="20"/>
          <w:lang w:val="en-US" w:eastAsia="en-US"/>
        </w:rPr>
        <w:br/>
      </w:r>
      <w:r w:rsidR="00AC697F" w:rsidRPr="00AC697F">
        <w:rPr>
          <w:rFonts w:ascii="Verdana" w:eastAsiaTheme="minorHAnsi" w:hAnsi="Verdana" w:cs="Times New Roman"/>
          <w:color w:val="000000" w:themeColor="text1"/>
          <w:sz w:val="20"/>
          <w:szCs w:val="20"/>
          <w:lang w:val="en-US" w:eastAsia="en-US"/>
        </w:rPr>
        <w:br/>
      </w:r>
      <w:r w:rsidR="00AC697F">
        <w:rPr>
          <w:rFonts w:ascii="Verdana" w:eastAsiaTheme="minorHAnsi" w:hAnsi="Verdana" w:cs="Times New Roman"/>
          <w:color w:val="000000" w:themeColor="text1"/>
          <w:sz w:val="20"/>
          <w:szCs w:val="20"/>
          <w:lang w:val="en-US" w:eastAsia="en-US"/>
        </w:rPr>
        <w:t xml:space="preserve">The pooling of assets will </w:t>
      </w:r>
      <w:r w:rsidR="004C04A4">
        <w:rPr>
          <w:rFonts w:ascii="Verdana" w:eastAsiaTheme="minorHAnsi" w:hAnsi="Verdana" w:cs="Times New Roman"/>
          <w:color w:val="000000" w:themeColor="text1"/>
          <w:sz w:val="20"/>
          <w:szCs w:val="20"/>
          <w:lang w:val="en-US" w:eastAsia="en-US"/>
        </w:rPr>
        <w:t xml:space="preserve">ultimately </w:t>
      </w:r>
      <w:r w:rsidR="00AC697F">
        <w:rPr>
          <w:rFonts w:ascii="Verdana" w:eastAsiaTheme="minorHAnsi" w:hAnsi="Verdana" w:cs="Times New Roman"/>
          <w:color w:val="000000" w:themeColor="text1"/>
          <w:sz w:val="20"/>
          <w:szCs w:val="20"/>
          <w:lang w:val="en-US" w:eastAsia="en-US"/>
        </w:rPr>
        <w:t xml:space="preserve">mean a change </w:t>
      </w:r>
      <w:r w:rsidR="004C04A4">
        <w:rPr>
          <w:rFonts w:ascii="Verdana" w:eastAsiaTheme="minorHAnsi" w:hAnsi="Verdana" w:cs="Times New Roman"/>
          <w:color w:val="000000" w:themeColor="text1"/>
          <w:sz w:val="20"/>
          <w:szCs w:val="20"/>
          <w:lang w:val="en-US" w:eastAsia="en-US"/>
        </w:rPr>
        <w:t>in</w:t>
      </w:r>
      <w:r w:rsidR="00AC697F">
        <w:rPr>
          <w:rFonts w:ascii="Verdana" w:eastAsiaTheme="minorHAnsi" w:hAnsi="Verdana" w:cs="Times New Roman"/>
          <w:color w:val="000000" w:themeColor="text1"/>
          <w:sz w:val="20"/>
          <w:szCs w:val="20"/>
          <w:lang w:val="en-US" w:eastAsia="en-US"/>
        </w:rPr>
        <w:t xml:space="preserve"> ownership </w:t>
      </w:r>
      <w:r w:rsidR="004C04A4">
        <w:rPr>
          <w:rFonts w:ascii="Verdana" w:eastAsiaTheme="minorHAnsi" w:hAnsi="Verdana" w:cs="Times New Roman"/>
          <w:color w:val="000000" w:themeColor="text1"/>
          <w:sz w:val="20"/>
          <w:szCs w:val="20"/>
          <w:lang w:val="en-US" w:eastAsia="en-US"/>
        </w:rPr>
        <w:t xml:space="preserve">arrangements for </w:t>
      </w:r>
      <w:r w:rsidR="004C4754">
        <w:rPr>
          <w:rFonts w:ascii="Verdana" w:eastAsiaTheme="minorHAnsi" w:hAnsi="Verdana" w:cs="Times New Roman"/>
          <w:color w:val="000000" w:themeColor="text1"/>
          <w:sz w:val="20"/>
          <w:szCs w:val="20"/>
          <w:lang w:val="en-US" w:eastAsia="en-US"/>
        </w:rPr>
        <w:t xml:space="preserve">the </w:t>
      </w:r>
      <w:r w:rsidR="00AC697F">
        <w:rPr>
          <w:rFonts w:ascii="Verdana" w:eastAsiaTheme="minorHAnsi" w:hAnsi="Verdana" w:cs="Times New Roman"/>
          <w:color w:val="000000" w:themeColor="text1"/>
          <w:sz w:val="20"/>
          <w:szCs w:val="20"/>
          <w:lang w:val="en-US" w:eastAsia="en-US"/>
        </w:rPr>
        <w:t xml:space="preserve">listed equities managed on behalf of LCPF and LPFA by LPP Investments Ltd.  </w:t>
      </w:r>
      <w:r w:rsidR="00CD4E6A">
        <w:rPr>
          <w:rFonts w:ascii="Verdana" w:eastAsiaTheme="minorHAnsi" w:hAnsi="Verdana" w:cs="Times New Roman"/>
          <w:color w:val="000000" w:themeColor="text1"/>
          <w:sz w:val="20"/>
          <w:szCs w:val="20"/>
          <w:lang w:val="en-US" w:eastAsia="en-US"/>
        </w:rPr>
        <w:t>T</w:t>
      </w:r>
      <w:r w:rsidR="004C04A4">
        <w:rPr>
          <w:rFonts w:ascii="Verdana" w:eastAsiaTheme="minorHAnsi" w:hAnsi="Verdana" w:cs="Times New Roman"/>
          <w:color w:val="000000" w:themeColor="text1"/>
          <w:sz w:val="20"/>
          <w:szCs w:val="20"/>
          <w:lang w:val="en-US" w:eastAsia="en-US"/>
        </w:rPr>
        <w:t xml:space="preserve">he Fund's beneficial ownership rights will continue to be well protected </w:t>
      </w:r>
      <w:r w:rsidR="00EE74B4">
        <w:rPr>
          <w:rFonts w:ascii="Verdana" w:eastAsiaTheme="minorHAnsi" w:hAnsi="Verdana" w:cs="Times New Roman"/>
          <w:color w:val="000000" w:themeColor="text1"/>
          <w:sz w:val="20"/>
          <w:szCs w:val="20"/>
          <w:lang w:val="en-US" w:eastAsia="en-US"/>
        </w:rPr>
        <w:t>once</w:t>
      </w:r>
      <w:r w:rsidR="004C04A4">
        <w:rPr>
          <w:rFonts w:ascii="Verdana" w:eastAsiaTheme="minorHAnsi" w:hAnsi="Verdana" w:cs="Times New Roman"/>
          <w:color w:val="000000" w:themeColor="text1"/>
          <w:sz w:val="20"/>
          <w:szCs w:val="20"/>
          <w:lang w:val="en-US" w:eastAsia="en-US"/>
        </w:rPr>
        <w:t xml:space="preserve"> the new arrangements </w:t>
      </w:r>
      <w:r w:rsidR="00EE74B4">
        <w:rPr>
          <w:rFonts w:ascii="Verdana" w:eastAsiaTheme="minorHAnsi" w:hAnsi="Verdana" w:cs="Times New Roman"/>
          <w:color w:val="000000" w:themeColor="text1"/>
          <w:sz w:val="20"/>
          <w:szCs w:val="20"/>
          <w:lang w:val="en-US" w:eastAsia="en-US"/>
        </w:rPr>
        <w:t xml:space="preserve">are </w:t>
      </w:r>
      <w:r w:rsidR="004C04A4">
        <w:rPr>
          <w:rFonts w:ascii="Verdana" w:eastAsiaTheme="minorHAnsi" w:hAnsi="Verdana" w:cs="Times New Roman"/>
          <w:color w:val="000000" w:themeColor="text1"/>
          <w:sz w:val="20"/>
          <w:szCs w:val="20"/>
          <w:lang w:val="en-US" w:eastAsia="en-US"/>
        </w:rPr>
        <w:t xml:space="preserve">introduced and LPP I will carefully monitor litigation to ensure the Fund is aware of cases where it has sustained losses and </w:t>
      </w:r>
      <w:r w:rsidR="004C4754">
        <w:rPr>
          <w:rFonts w:ascii="Verdana" w:eastAsiaTheme="minorHAnsi" w:hAnsi="Verdana" w:cs="Times New Roman"/>
          <w:color w:val="000000" w:themeColor="text1"/>
          <w:sz w:val="20"/>
          <w:szCs w:val="20"/>
          <w:lang w:val="en-US" w:eastAsia="en-US"/>
        </w:rPr>
        <w:t xml:space="preserve">appraised about </w:t>
      </w:r>
      <w:r w:rsidR="00AD3A07">
        <w:rPr>
          <w:rFonts w:ascii="Verdana" w:eastAsiaTheme="minorHAnsi" w:hAnsi="Verdana" w:cs="Times New Roman"/>
          <w:color w:val="000000" w:themeColor="text1"/>
          <w:sz w:val="20"/>
          <w:szCs w:val="20"/>
          <w:lang w:val="en-US" w:eastAsia="en-US"/>
        </w:rPr>
        <w:t>opt-in, opt-</w:t>
      </w:r>
      <w:r w:rsidR="00B406AE">
        <w:rPr>
          <w:rFonts w:ascii="Verdana" w:eastAsiaTheme="minorHAnsi" w:hAnsi="Verdana" w:cs="Times New Roman"/>
          <w:color w:val="000000" w:themeColor="text1"/>
          <w:sz w:val="20"/>
          <w:szCs w:val="20"/>
          <w:lang w:val="en-US" w:eastAsia="en-US"/>
        </w:rPr>
        <w:t xml:space="preserve">out or independent legal action </w:t>
      </w:r>
      <w:r w:rsidR="004C4754">
        <w:rPr>
          <w:rFonts w:ascii="Verdana" w:eastAsiaTheme="minorHAnsi" w:hAnsi="Verdana" w:cs="Times New Roman"/>
          <w:color w:val="000000" w:themeColor="text1"/>
          <w:sz w:val="20"/>
          <w:szCs w:val="20"/>
          <w:lang w:val="en-US" w:eastAsia="en-US"/>
        </w:rPr>
        <w:t>wh</w:t>
      </w:r>
      <w:r w:rsidR="00EE74B4">
        <w:rPr>
          <w:rFonts w:ascii="Verdana" w:eastAsiaTheme="minorHAnsi" w:hAnsi="Verdana" w:cs="Times New Roman"/>
          <w:color w:val="000000" w:themeColor="text1"/>
          <w:sz w:val="20"/>
          <w:szCs w:val="20"/>
          <w:lang w:val="en-US" w:eastAsia="en-US"/>
        </w:rPr>
        <w:t xml:space="preserve">ere this </w:t>
      </w:r>
      <w:r w:rsidR="00CD4E6A">
        <w:rPr>
          <w:rFonts w:ascii="Verdana" w:eastAsiaTheme="minorHAnsi" w:hAnsi="Verdana" w:cs="Times New Roman"/>
          <w:color w:val="000000" w:themeColor="text1"/>
          <w:sz w:val="20"/>
          <w:szCs w:val="20"/>
          <w:lang w:val="en-US" w:eastAsia="en-US"/>
        </w:rPr>
        <w:t>might</w:t>
      </w:r>
      <w:r w:rsidR="00B406AE">
        <w:rPr>
          <w:rFonts w:ascii="Verdana" w:eastAsiaTheme="minorHAnsi" w:hAnsi="Verdana" w:cs="Times New Roman"/>
          <w:color w:val="000000" w:themeColor="text1"/>
          <w:sz w:val="20"/>
          <w:szCs w:val="20"/>
          <w:lang w:val="en-US" w:eastAsia="en-US"/>
        </w:rPr>
        <w:t xml:space="preserve"> offer </w:t>
      </w:r>
      <w:r w:rsidR="00411EC7">
        <w:rPr>
          <w:rFonts w:ascii="Verdana" w:eastAsiaTheme="minorHAnsi" w:hAnsi="Verdana" w:cs="Times New Roman"/>
          <w:color w:val="000000" w:themeColor="text1"/>
          <w:sz w:val="20"/>
          <w:szCs w:val="20"/>
          <w:lang w:val="en-US" w:eastAsia="en-US"/>
        </w:rPr>
        <w:t xml:space="preserve">a </w:t>
      </w:r>
      <w:r w:rsidR="00B406AE">
        <w:rPr>
          <w:rFonts w:ascii="Verdana" w:eastAsiaTheme="minorHAnsi" w:hAnsi="Verdana" w:cs="Times New Roman"/>
          <w:color w:val="000000" w:themeColor="text1"/>
          <w:sz w:val="20"/>
          <w:szCs w:val="20"/>
          <w:lang w:val="en-US" w:eastAsia="en-US"/>
        </w:rPr>
        <w:t>premium recovery compared with the default approach of participating in class actions</w:t>
      </w:r>
      <w:r w:rsidR="004C04A4">
        <w:rPr>
          <w:rFonts w:ascii="Verdana" w:eastAsiaTheme="minorHAnsi" w:hAnsi="Verdana" w:cs="Times New Roman"/>
          <w:color w:val="000000" w:themeColor="text1"/>
          <w:sz w:val="20"/>
          <w:szCs w:val="20"/>
          <w:lang w:val="en-US" w:eastAsia="en-US"/>
        </w:rPr>
        <w:t>.</w:t>
      </w:r>
      <w:r w:rsidR="00B406AE" w:rsidRPr="00B406AE">
        <w:rPr>
          <w:rFonts w:ascii="Verdana" w:eastAsiaTheme="minorHAnsi" w:hAnsi="Verdana" w:cs="Times New Roman"/>
          <w:color w:val="000000" w:themeColor="text1"/>
          <w:sz w:val="20"/>
          <w:szCs w:val="20"/>
          <w:lang w:val="en-US" w:eastAsia="en-US"/>
        </w:rPr>
        <w:t xml:space="preserve"> </w:t>
      </w:r>
    </w:p>
    <w:p w:rsidR="00AC697F" w:rsidRDefault="00AC697F" w:rsidP="00AC697F">
      <w:pPr>
        <w:pStyle w:val="Default"/>
        <w:rPr>
          <w:rFonts w:ascii="Verdana" w:eastAsiaTheme="minorHAnsi" w:hAnsi="Verdana" w:cs="Times New Roman"/>
          <w:color w:val="000000" w:themeColor="text1"/>
          <w:sz w:val="20"/>
          <w:szCs w:val="20"/>
          <w:lang w:val="en-US" w:eastAsia="en-US"/>
        </w:rPr>
      </w:pPr>
    </w:p>
    <w:p w:rsidR="00394940" w:rsidRPr="00B879D1" w:rsidRDefault="00394940" w:rsidP="00394940">
      <w:pPr>
        <w:widowControl w:val="0"/>
        <w:spacing w:after="240"/>
        <w:outlineLvl w:val="0"/>
        <w:rPr>
          <w:rFonts w:ascii="Verdana" w:hAnsi="Verdana" w:cs="Arial"/>
          <w:bCs/>
          <w:i/>
          <w:color w:val="000000"/>
          <w:sz w:val="20"/>
          <w:szCs w:val="20"/>
        </w:rPr>
      </w:pPr>
      <w:r w:rsidRPr="00B879D1">
        <w:rPr>
          <w:rFonts w:ascii="Verdana" w:hAnsi="Verdana" w:cs="Arial"/>
          <w:bCs/>
          <w:i/>
          <w:color w:val="000000"/>
          <w:sz w:val="20"/>
          <w:szCs w:val="20"/>
        </w:rPr>
        <w:t xml:space="preserve">Royal Bank of Scotland </w:t>
      </w:r>
    </w:p>
    <w:p w:rsidR="00507B84" w:rsidRPr="0013705A" w:rsidRDefault="00394940" w:rsidP="0013705A">
      <w:pPr>
        <w:pStyle w:val="Default"/>
        <w:rPr>
          <w:rFonts w:ascii="Verdana" w:hAnsi="Verdana"/>
          <w:bCs/>
          <w:sz w:val="20"/>
          <w:szCs w:val="20"/>
        </w:rPr>
      </w:pPr>
      <w:r w:rsidRPr="00B879D1">
        <w:rPr>
          <w:rFonts w:ascii="Verdana" w:hAnsi="Verdana"/>
          <w:bCs/>
          <w:sz w:val="20"/>
          <w:szCs w:val="20"/>
        </w:rPr>
        <w:t xml:space="preserve">As previously reported, the Fund is part of a large group of institutional investors in a group action against Royal Bank of Scotland Group Plc (RBS) under which it is argued that investors suffered losses in connection with a Rights Issue in 2008. The law firm representing our investor group (SL Group Claimants) provides a monthly update on pre-trial progress with the case.  </w:t>
      </w:r>
      <w:r w:rsidR="0013705A">
        <w:rPr>
          <w:rFonts w:ascii="Verdana" w:hAnsi="Verdana"/>
          <w:bCs/>
          <w:sz w:val="20"/>
          <w:szCs w:val="20"/>
        </w:rPr>
        <w:t>However, a</w:t>
      </w:r>
      <w:r w:rsidR="0013705A" w:rsidRPr="00A5305E">
        <w:rPr>
          <w:rFonts w:ascii="Verdana" w:hAnsi="Verdana"/>
          <w:bCs/>
          <w:sz w:val="20"/>
          <w:szCs w:val="20"/>
        </w:rPr>
        <w:t xml:space="preserve"> requirement for confidentiality around details of the ongoing legal process mean only limited aspects can be </w:t>
      </w:r>
      <w:r w:rsidR="0013705A">
        <w:rPr>
          <w:rFonts w:ascii="Verdana" w:hAnsi="Verdana"/>
          <w:bCs/>
          <w:sz w:val="20"/>
          <w:szCs w:val="20"/>
        </w:rPr>
        <w:t>reported publicly</w:t>
      </w:r>
      <w:r w:rsidR="0013705A" w:rsidRPr="00A5305E">
        <w:rPr>
          <w:rFonts w:ascii="Verdana" w:hAnsi="Verdana"/>
          <w:bCs/>
          <w:sz w:val="20"/>
          <w:szCs w:val="20"/>
        </w:rPr>
        <w:t>.</w:t>
      </w:r>
      <w:r w:rsidR="0013705A">
        <w:rPr>
          <w:rFonts w:ascii="Verdana" w:hAnsi="Verdana"/>
          <w:bCs/>
          <w:sz w:val="20"/>
          <w:szCs w:val="20"/>
        </w:rPr>
        <w:t xml:space="preserve"> </w:t>
      </w:r>
      <w:r w:rsidR="00A5305E" w:rsidRPr="00A5305E">
        <w:rPr>
          <w:rFonts w:ascii="Verdana" w:hAnsi="Verdana"/>
          <w:bCs/>
          <w:sz w:val="20"/>
          <w:szCs w:val="20"/>
        </w:rPr>
        <w:t xml:space="preserve">Progress is being monitored </w:t>
      </w:r>
      <w:r w:rsidR="00A5305E">
        <w:rPr>
          <w:rFonts w:ascii="Verdana" w:hAnsi="Verdana"/>
          <w:bCs/>
          <w:sz w:val="20"/>
          <w:szCs w:val="20"/>
        </w:rPr>
        <w:t xml:space="preserve">and </w:t>
      </w:r>
      <w:r w:rsidR="0013705A">
        <w:rPr>
          <w:rFonts w:ascii="Verdana" w:hAnsi="Verdana"/>
          <w:bCs/>
          <w:sz w:val="20"/>
          <w:szCs w:val="20"/>
        </w:rPr>
        <w:t xml:space="preserve">LCPF interests (as a claimant) </w:t>
      </w:r>
      <w:r w:rsidR="00841BC1">
        <w:rPr>
          <w:rFonts w:ascii="Verdana" w:hAnsi="Verdana"/>
          <w:bCs/>
          <w:sz w:val="20"/>
          <w:szCs w:val="20"/>
        </w:rPr>
        <w:t xml:space="preserve">are being </w:t>
      </w:r>
      <w:r w:rsidR="00A5305E">
        <w:rPr>
          <w:rFonts w:ascii="Verdana" w:hAnsi="Verdana"/>
          <w:bCs/>
          <w:sz w:val="20"/>
          <w:szCs w:val="20"/>
        </w:rPr>
        <w:t xml:space="preserve">reviewed </w:t>
      </w:r>
      <w:r w:rsidR="00A5305E" w:rsidRPr="00A5305E">
        <w:rPr>
          <w:rFonts w:ascii="Verdana" w:hAnsi="Verdana"/>
          <w:bCs/>
          <w:sz w:val="20"/>
          <w:szCs w:val="20"/>
        </w:rPr>
        <w:t xml:space="preserve">by </w:t>
      </w:r>
      <w:r w:rsidR="00A5305E">
        <w:rPr>
          <w:rFonts w:ascii="Verdana" w:hAnsi="Verdana"/>
          <w:bCs/>
          <w:sz w:val="20"/>
          <w:szCs w:val="20"/>
        </w:rPr>
        <w:t xml:space="preserve">the County Council's </w:t>
      </w:r>
      <w:r w:rsidR="00A5305E" w:rsidRPr="00A5305E">
        <w:rPr>
          <w:rFonts w:ascii="Verdana" w:hAnsi="Verdana"/>
          <w:sz w:val="20"/>
          <w:szCs w:val="20"/>
          <w:lang w:val="en"/>
        </w:rPr>
        <w:t>Director of Legal and Democratic Services</w:t>
      </w:r>
      <w:r w:rsidR="00841BC1">
        <w:rPr>
          <w:rFonts w:ascii="Verdana" w:hAnsi="Verdana"/>
          <w:sz w:val="20"/>
          <w:szCs w:val="20"/>
          <w:lang w:val="en"/>
        </w:rPr>
        <w:t xml:space="preserve"> on an ongoing basis</w:t>
      </w:r>
      <w:r w:rsidR="00A5305E">
        <w:rPr>
          <w:rFonts w:ascii="Verdana" w:hAnsi="Verdana"/>
          <w:sz w:val="20"/>
          <w:szCs w:val="20"/>
          <w:lang w:val="en"/>
        </w:rPr>
        <w:t>.</w:t>
      </w:r>
      <w:r w:rsidR="00A5305E" w:rsidRPr="00A5305E">
        <w:rPr>
          <w:rFonts w:ascii="Verdana" w:hAnsi="Verdana"/>
          <w:bCs/>
          <w:sz w:val="20"/>
          <w:szCs w:val="20"/>
        </w:rPr>
        <w:t xml:space="preserve"> </w:t>
      </w:r>
    </w:p>
    <w:p w:rsidR="0013705A" w:rsidRDefault="0013705A" w:rsidP="00A5305E">
      <w:pPr>
        <w:rPr>
          <w:rFonts w:ascii="Verdana" w:eastAsia="Times New Roman" w:hAnsi="Verdana" w:cs="Arial"/>
          <w:bCs/>
          <w:color w:val="000000"/>
          <w:sz w:val="20"/>
          <w:szCs w:val="20"/>
          <w:lang w:eastAsia="en-GB"/>
        </w:rPr>
      </w:pPr>
    </w:p>
    <w:p w:rsidR="00A5305E" w:rsidRDefault="00A5305E" w:rsidP="00A5305E">
      <w:r w:rsidRPr="00507B84">
        <w:rPr>
          <w:rFonts w:ascii="Verdana" w:hAnsi="Verdana"/>
          <w:bCs/>
          <w:sz w:val="20"/>
          <w:szCs w:val="20"/>
        </w:rPr>
        <w:t>Since the last quarterly report to the Pension Fund Committee there have been no further Case Management Conferences (CMC) though a 10</w:t>
      </w:r>
      <w:r w:rsidRPr="00507B84">
        <w:rPr>
          <w:rFonts w:ascii="Verdana" w:hAnsi="Verdana"/>
          <w:bCs/>
          <w:sz w:val="20"/>
          <w:szCs w:val="20"/>
          <w:vertAlign w:val="superscript"/>
        </w:rPr>
        <w:t>th</w:t>
      </w:r>
      <w:r w:rsidRPr="00507B84">
        <w:rPr>
          <w:rFonts w:ascii="Verdana" w:hAnsi="Verdana"/>
          <w:bCs/>
          <w:sz w:val="20"/>
          <w:szCs w:val="20"/>
        </w:rPr>
        <w:t xml:space="preserve"> CMC is scheduled for </w:t>
      </w:r>
      <w:r w:rsidRPr="00507B84">
        <w:rPr>
          <w:rFonts w:ascii="Verdana" w:hAnsi="Verdana"/>
          <w:sz w:val="20"/>
          <w:szCs w:val="20"/>
        </w:rPr>
        <w:t>13-15 June 2016</w:t>
      </w:r>
      <w:r>
        <w:t xml:space="preserve">.  </w:t>
      </w:r>
    </w:p>
    <w:p w:rsidR="00507B84" w:rsidRPr="00B879D1" w:rsidRDefault="00507B84" w:rsidP="00507B84">
      <w:pPr>
        <w:pStyle w:val="Default"/>
        <w:rPr>
          <w:rFonts w:ascii="Verdana" w:hAnsi="Verdana"/>
          <w:sz w:val="20"/>
          <w:szCs w:val="20"/>
        </w:rPr>
      </w:pPr>
    </w:p>
    <w:p w:rsidR="00A5305E" w:rsidRDefault="00A5305E" w:rsidP="00394940">
      <w:pPr>
        <w:pStyle w:val="Default"/>
        <w:rPr>
          <w:rFonts w:ascii="Verdana" w:hAnsi="Verdana"/>
          <w:sz w:val="20"/>
          <w:szCs w:val="20"/>
        </w:rPr>
      </w:pPr>
      <w:r w:rsidRPr="00B879D1">
        <w:rPr>
          <w:rFonts w:ascii="Verdana" w:hAnsi="Verdana"/>
          <w:sz w:val="20"/>
          <w:szCs w:val="20"/>
        </w:rPr>
        <w:t>The SL Group’s potential liability for adverse costs remains unchanged, there is no material change to Stewarts Law’s and Leading Counsel’s estimate of the prospects of success in the litigation and there are currently no new matters or issues Stewarts Law are aware of that might have a material impact on the prospects of success/recovery.</w:t>
      </w:r>
    </w:p>
    <w:p w:rsidR="00A5305E" w:rsidRDefault="00A5305E" w:rsidP="00394940">
      <w:pPr>
        <w:pStyle w:val="Default"/>
        <w:rPr>
          <w:rFonts w:ascii="Verdana" w:hAnsi="Verdana"/>
          <w:sz w:val="20"/>
          <w:szCs w:val="20"/>
        </w:rPr>
      </w:pPr>
    </w:p>
    <w:p w:rsidR="00394940" w:rsidRPr="00B879D1" w:rsidRDefault="00394940" w:rsidP="00394940">
      <w:pPr>
        <w:pStyle w:val="Default"/>
        <w:rPr>
          <w:rFonts w:ascii="Verdana" w:hAnsi="Verdana"/>
          <w:sz w:val="20"/>
          <w:szCs w:val="20"/>
        </w:rPr>
      </w:pPr>
      <w:r w:rsidRPr="00B879D1">
        <w:rPr>
          <w:rFonts w:ascii="Verdana" w:hAnsi="Verdana"/>
          <w:sz w:val="20"/>
          <w:szCs w:val="20"/>
        </w:rPr>
        <w:t xml:space="preserve">The estimated length of trial remains unchanged at </w:t>
      </w:r>
      <w:r w:rsidR="0013705A">
        <w:rPr>
          <w:rFonts w:ascii="Verdana" w:hAnsi="Verdana"/>
          <w:sz w:val="20"/>
          <w:szCs w:val="20"/>
        </w:rPr>
        <w:t>25 weeks (</w:t>
      </w:r>
      <w:r w:rsidRPr="00B879D1">
        <w:rPr>
          <w:rFonts w:ascii="Verdana" w:hAnsi="Verdana"/>
          <w:sz w:val="20"/>
          <w:szCs w:val="20"/>
        </w:rPr>
        <w:t>6 months</w:t>
      </w:r>
      <w:r w:rsidR="0013705A">
        <w:rPr>
          <w:rFonts w:ascii="Verdana" w:hAnsi="Verdana"/>
          <w:sz w:val="20"/>
          <w:szCs w:val="20"/>
        </w:rPr>
        <w:t>)</w:t>
      </w:r>
      <w:r w:rsidRPr="00B879D1">
        <w:rPr>
          <w:rFonts w:ascii="Verdana" w:hAnsi="Verdana"/>
          <w:sz w:val="20"/>
          <w:szCs w:val="20"/>
        </w:rPr>
        <w:t xml:space="preserve"> </w:t>
      </w:r>
      <w:r w:rsidR="0013705A">
        <w:rPr>
          <w:rFonts w:ascii="Verdana" w:hAnsi="Verdana"/>
          <w:sz w:val="20"/>
          <w:szCs w:val="20"/>
        </w:rPr>
        <w:t xml:space="preserve">beginning in March 2017. However, this period will be interrupted </w:t>
      </w:r>
      <w:r w:rsidRPr="00B879D1">
        <w:rPr>
          <w:rFonts w:ascii="Verdana" w:hAnsi="Verdana"/>
          <w:sz w:val="20"/>
          <w:szCs w:val="20"/>
        </w:rPr>
        <w:t xml:space="preserve">by a two month break </w:t>
      </w:r>
      <w:r w:rsidR="0013705A">
        <w:rPr>
          <w:rFonts w:ascii="Verdana" w:hAnsi="Verdana"/>
          <w:sz w:val="20"/>
          <w:szCs w:val="20"/>
        </w:rPr>
        <w:t>for</w:t>
      </w:r>
      <w:r w:rsidRPr="00B879D1">
        <w:rPr>
          <w:rFonts w:ascii="Verdana" w:hAnsi="Verdana"/>
          <w:sz w:val="20"/>
          <w:szCs w:val="20"/>
        </w:rPr>
        <w:t xml:space="preserve"> Court vacation </w:t>
      </w:r>
      <w:r w:rsidR="001315DC">
        <w:rPr>
          <w:rFonts w:ascii="Verdana" w:hAnsi="Verdana"/>
          <w:sz w:val="20"/>
          <w:szCs w:val="20"/>
        </w:rPr>
        <w:t>during</w:t>
      </w:r>
      <w:r w:rsidRPr="00B879D1">
        <w:rPr>
          <w:rFonts w:ascii="Verdana" w:hAnsi="Verdana"/>
          <w:sz w:val="20"/>
          <w:szCs w:val="20"/>
        </w:rPr>
        <w:t xml:space="preserve"> August and September 2017</w:t>
      </w:r>
      <w:r w:rsidR="0013705A">
        <w:rPr>
          <w:rFonts w:ascii="Verdana" w:hAnsi="Verdana"/>
          <w:sz w:val="20"/>
          <w:szCs w:val="20"/>
        </w:rPr>
        <w:t xml:space="preserve">.  </w:t>
      </w:r>
    </w:p>
    <w:p w:rsidR="00394940" w:rsidRPr="00AC697F" w:rsidRDefault="00394940" w:rsidP="00AC697F">
      <w:pPr>
        <w:pStyle w:val="Default"/>
        <w:rPr>
          <w:rFonts w:ascii="Verdana" w:eastAsiaTheme="minorHAnsi" w:hAnsi="Verdana" w:cs="Times New Roman"/>
          <w:color w:val="000000" w:themeColor="text1"/>
          <w:sz w:val="20"/>
          <w:szCs w:val="20"/>
          <w:lang w:val="en-US" w:eastAsia="en-US"/>
        </w:rPr>
      </w:pPr>
    </w:p>
    <w:p w:rsidR="004E4093" w:rsidRPr="00F262A4" w:rsidRDefault="00574C33" w:rsidP="00AC697F">
      <w:pPr>
        <w:pStyle w:val="Default"/>
        <w:numPr>
          <w:ilvl w:val="0"/>
          <w:numId w:val="4"/>
        </w:numPr>
        <w:ind w:left="426" w:hanging="426"/>
        <w:rPr>
          <w:rFonts w:ascii="Verdana" w:hAnsi="Verdana"/>
          <w:iCs/>
          <w:sz w:val="20"/>
          <w:szCs w:val="20"/>
        </w:rPr>
      </w:pPr>
      <w:r w:rsidRPr="00F262A4">
        <w:rPr>
          <w:rFonts w:ascii="Verdana" w:hAnsi="Verdana"/>
          <w:iCs/>
          <w:sz w:val="20"/>
          <w:szCs w:val="20"/>
        </w:rPr>
        <w:t>Active Investing</w:t>
      </w:r>
    </w:p>
    <w:p w:rsidR="00B406AE" w:rsidRDefault="00B406AE" w:rsidP="00574C33">
      <w:pPr>
        <w:autoSpaceDE w:val="0"/>
        <w:autoSpaceDN w:val="0"/>
        <w:adjustRightInd w:val="0"/>
        <w:rPr>
          <w:rFonts w:ascii="Verdana" w:hAnsi="Verdana" w:cs="TT3B97o00"/>
          <w:sz w:val="20"/>
          <w:szCs w:val="20"/>
        </w:rPr>
      </w:pPr>
    </w:p>
    <w:p w:rsidR="00DD43A4" w:rsidRDefault="00B406AE" w:rsidP="00AE5ECC">
      <w:pPr>
        <w:autoSpaceDE w:val="0"/>
        <w:autoSpaceDN w:val="0"/>
        <w:adjustRightInd w:val="0"/>
        <w:rPr>
          <w:rFonts w:ascii="Verdana" w:hAnsi="Verdana"/>
          <w:iCs/>
          <w:sz w:val="20"/>
          <w:szCs w:val="20"/>
        </w:rPr>
      </w:pPr>
      <w:r>
        <w:rPr>
          <w:rFonts w:ascii="Verdana" w:hAnsi="Verdana" w:cs="TT3B97o00"/>
          <w:sz w:val="20"/>
          <w:szCs w:val="20"/>
        </w:rPr>
        <w:t xml:space="preserve">LCPF's commitment to active investing involves considering the wider characteristics of </w:t>
      </w:r>
      <w:r w:rsidR="00574C33" w:rsidRPr="007A0579">
        <w:rPr>
          <w:rFonts w:ascii="Verdana" w:hAnsi="Verdana" w:cs="TT3B97o00"/>
          <w:sz w:val="20"/>
          <w:szCs w:val="20"/>
        </w:rPr>
        <w:t>investment</w:t>
      </w:r>
      <w:r>
        <w:rPr>
          <w:rFonts w:ascii="Verdana" w:hAnsi="Verdana" w:cs="TT3B97o00"/>
          <w:sz w:val="20"/>
          <w:szCs w:val="20"/>
        </w:rPr>
        <w:t xml:space="preserve"> opportunities </w:t>
      </w:r>
      <w:r w:rsidR="00AE5ECC">
        <w:rPr>
          <w:rFonts w:ascii="Verdana" w:hAnsi="Verdana" w:cs="TT3B97o00"/>
          <w:sz w:val="20"/>
          <w:szCs w:val="20"/>
        </w:rPr>
        <w:t>by</w:t>
      </w:r>
      <w:r>
        <w:rPr>
          <w:rFonts w:ascii="Verdana" w:hAnsi="Verdana" w:cs="TT3B97o00"/>
          <w:sz w:val="20"/>
          <w:szCs w:val="20"/>
        </w:rPr>
        <w:t xml:space="preserve"> </w:t>
      </w:r>
      <w:r w:rsidR="00AE5ECC">
        <w:rPr>
          <w:rFonts w:ascii="Verdana" w:hAnsi="Verdana" w:cs="TT3B97o00"/>
          <w:sz w:val="20"/>
          <w:szCs w:val="20"/>
        </w:rPr>
        <w:t>identifying</w:t>
      </w:r>
      <w:r>
        <w:rPr>
          <w:rFonts w:ascii="Verdana" w:hAnsi="Verdana" w:cs="TT3B97o00"/>
          <w:sz w:val="20"/>
          <w:szCs w:val="20"/>
        </w:rPr>
        <w:t xml:space="preserve"> </w:t>
      </w:r>
      <w:r w:rsidR="00574C33" w:rsidRPr="007A0579">
        <w:rPr>
          <w:rFonts w:ascii="Verdana" w:hAnsi="Verdana" w:cs="TT3B97o00"/>
          <w:sz w:val="20"/>
          <w:szCs w:val="20"/>
        </w:rPr>
        <w:t xml:space="preserve">positive social characteristics </w:t>
      </w:r>
      <w:r w:rsidR="00220835">
        <w:rPr>
          <w:rFonts w:ascii="Verdana" w:hAnsi="Verdana" w:cs="TT3B97o00"/>
          <w:sz w:val="20"/>
          <w:szCs w:val="20"/>
        </w:rPr>
        <w:t xml:space="preserve">and </w:t>
      </w:r>
      <w:r w:rsidR="00AE5ECC">
        <w:rPr>
          <w:rFonts w:ascii="Verdana" w:hAnsi="Verdana" w:cs="TT3B97o00"/>
          <w:sz w:val="20"/>
          <w:szCs w:val="20"/>
        </w:rPr>
        <w:t xml:space="preserve">potentially </w:t>
      </w:r>
      <w:r w:rsidR="00AE5ECC">
        <w:rPr>
          <w:rFonts w:ascii="Verdana" w:hAnsi="Verdana"/>
          <w:iCs/>
          <w:sz w:val="20"/>
          <w:szCs w:val="20"/>
        </w:rPr>
        <w:t>negative impacts and allowing these to be taken into account as part of decision-making. Th</w:t>
      </w:r>
      <w:r w:rsidR="004C4754">
        <w:rPr>
          <w:rFonts w:ascii="Verdana" w:hAnsi="Verdana"/>
          <w:iCs/>
          <w:sz w:val="20"/>
          <w:szCs w:val="20"/>
        </w:rPr>
        <w:t>e</w:t>
      </w:r>
      <w:r w:rsidR="00AE5ECC">
        <w:rPr>
          <w:rFonts w:ascii="Verdana" w:hAnsi="Verdana"/>
          <w:iCs/>
          <w:sz w:val="20"/>
          <w:szCs w:val="20"/>
        </w:rPr>
        <w:t xml:space="preserve"> commitment is fulfilled in practice by incorporating the consideration of relevant Environmental, Social and Governance </w:t>
      </w:r>
      <w:r w:rsidR="00DD43A4">
        <w:rPr>
          <w:rFonts w:ascii="Verdana" w:hAnsi="Verdana"/>
          <w:iCs/>
          <w:sz w:val="20"/>
          <w:szCs w:val="20"/>
        </w:rPr>
        <w:t xml:space="preserve">(ESG) </w:t>
      </w:r>
      <w:r w:rsidR="00AE5ECC">
        <w:rPr>
          <w:rFonts w:ascii="Verdana" w:hAnsi="Verdana"/>
          <w:iCs/>
          <w:sz w:val="20"/>
          <w:szCs w:val="20"/>
        </w:rPr>
        <w:t xml:space="preserve">factors into </w:t>
      </w:r>
      <w:r w:rsidR="004C4754">
        <w:rPr>
          <w:rFonts w:ascii="Verdana" w:hAnsi="Verdana"/>
          <w:iCs/>
          <w:sz w:val="20"/>
          <w:szCs w:val="20"/>
        </w:rPr>
        <w:t xml:space="preserve">investment </w:t>
      </w:r>
      <w:r w:rsidR="00AE5ECC">
        <w:rPr>
          <w:rFonts w:ascii="Verdana" w:hAnsi="Verdana"/>
          <w:iCs/>
          <w:sz w:val="20"/>
          <w:szCs w:val="20"/>
        </w:rPr>
        <w:t xml:space="preserve">due diligence. </w:t>
      </w:r>
    </w:p>
    <w:p w:rsidR="00DD43A4" w:rsidRDefault="00DD43A4" w:rsidP="00AE5ECC">
      <w:pPr>
        <w:autoSpaceDE w:val="0"/>
        <w:autoSpaceDN w:val="0"/>
        <w:adjustRightInd w:val="0"/>
        <w:rPr>
          <w:rFonts w:ascii="Verdana" w:hAnsi="Verdana"/>
          <w:iCs/>
          <w:sz w:val="20"/>
          <w:szCs w:val="20"/>
        </w:rPr>
      </w:pPr>
    </w:p>
    <w:p w:rsidR="00E56A78" w:rsidRDefault="00AE5ECC" w:rsidP="004C4754">
      <w:pPr>
        <w:autoSpaceDE w:val="0"/>
        <w:autoSpaceDN w:val="0"/>
        <w:adjustRightInd w:val="0"/>
        <w:rPr>
          <w:rFonts w:ascii="Verdana" w:hAnsi="Verdana"/>
          <w:iCs/>
          <w:sz w:val="20"/>
          <w:szCs w:val="20"/>
        </w:rPr>
      </w:pPr>
      <w:r>
        <w:rPr>
          <w:rFonts w:ascii="Verdana" w:hAnsi="Verdana"/>
          <w:iCs/>
          <w:sz w:val="20"/>
          <w:szCs w:val="20"/>
        </w:rPr>
        <w:t xml:space="preserve">The Pensions and Lifetime Savings Association has recently </w:t>
      </w:r>
      <w:r w:rsidR="00EE74B4">
        <w:rPr>
          <w:rFonts w:ascii="Verdana" w:hAnsi="Verdana"/>
          <w:iCs/>
          <w:sz w:val="20"/>
          <w:szCs w:val="20"/>
        </w:rPr>
        <w:t xml:space="preserve">added to </w:t>
      </w:r>
      <w:r>
        <w:rPr>
          <w:rFonts w:ascii="Verdana" w:hAnsi="Verdana"/>
          <w:iCs/>
          <w:sz w:val="20"/>
          <w:szCs w:val="20"/>
        </w:rPr>
        <w:t xml:space="preserve">its "Made Simple" guides </w:t>
      </w:r>
      <w:r w:rsidR="00DD43A4">
        <w:rPr>
          <w:rFonts w:ascii="Verdana" w:hAnsi="Verdana"/>
          <w:iCs/>
          <w:sz w:val="20"/>
          <w:szCs w:val="20"/>
        </w:rPr>
        <w:t xml:space="preserve">with </w:t>
      </w:r>
      <w:r w:rsidR="00EE74B4">
        <w:rPr>
          <w:rFonts w:ascii="Verdana" w:hAnsi="Verdana"/>
          <w:iCs/>
          <w:sz w:val="20"/>
          <w:szCs w:val="20"/>
        </w:rPr>
        <w:t xml:space="preserve">the publication of </w:t>
      </w:r>
      <w:r w:rsidR="00DD43A4">
        <w:rPr>
          <w:rFonts w:ascii="Verdana" w:hAnsi="Verdana"/>
          <w:iCs/>
          <w:sz w:val="20"/>
          <w:szCs w:val="20"/>
        </w:rPr>
        <w:t xml:space="preserve">a volume </w:t>
      </w:r>
      <w:r w:rsidR="004C4754">
        <w:rPr>
          <w:rFonts w:ascii="Verdana" w:hAnsi="Verdana"/>
          <w:iCs/>
          <w:sz w:val="20"/>
          <w:szCs w:val="20"/>
        </w:rPr>
        <w:t>focussed</w:t>
      </w:r>
      <w:r>
        <w:rPr>
          <w:rFonts w:ascii="Verdana" w:hAnsi="Verdana"/>
          <w:iCs/>
          <w:sz w:val="20"/>
          <w:szCs w:val="20"/>
        </w:rPr>
        <w:t xml:space="preserve"> upon ESG</w:t>
      </w:r>
      <w:r w:rsidR="004C4754">
        <w:rPr>
          <w:rFonts w:ascii="Verdana" w:hAnsi="Verdana"/>
          <w:iCs/>
          <w:sz w:val="20"/>
          <w:szCs w:val="20"/>
        </w:rPr>
        <w:t>.</w:t>
      </w:r>
      <w:r>
        <w:rPr>
          <w:rFonts w:ascii="Verdana" w:hAnsi="Verdana"/>
          <w:iCs/>
          <w:sz w:val="20"/>
          <w:szCs w:val="20"/>
        </w:rPr>
        <w:t xml:space="preserve"> </w:t>
      </w:r>
      <w:r w:rsidR="00DD43A4">
        <w:rPr>
          <w:rFonts w:ascii="Verdana" w:hAnsi="Verdana"/>
          <w:iCs/>
          <w:sz w:val="20"/>
          <w:szCs w:val="20"/>
        </w:rPr>
        <w:t xml:space="preserve">A copy of the guide is provided at Appendix </w:t>
      </w:r>
      <w:r w:rsidR="00660C65">
        <w:rPr>
          <w:rFonts w:ascii="Verdana" w:hAnsi="Verdana"/>
          <w:iCs/>
          <w:sz w:val="20"/>
          <w:szCs w:val="20"/>
        </w:rPr>
        <w:t xml:space="preserve">2 </w:t>
      </w:r>
      <w:r w:rsidR="00DD43A4">
        <w:rPr>
          <w:rFonts w:ascii="Verdana" w:hAnsi="Verdana"/>
          <w:iCs/>
          <w:sz w:val="20"/>
          <w:szCs w:val="20"/>
        </w:rPr>
        <w:t xml:space="preserve">and </w:t>
      </w:r>
      <w:r w:rsidR="004C4754">
        <w:rPr>
          <w:rFonts w:ascii="Verdana" w:hAnsi="Verdana"/>
          <w:iCs/>
          <w:sz w:val="20"/>
          <w:szCs w:val="20"/>
        </w:rPr>
        <w:t xml:space="preserve">it </w:t>
      </w:r>
      <w:r w:rsidR="00DD43A4">
        <w:rPr>
          <w:rFonts w:ascii="Verdana" w:hAnsi="Verdana"/>
          <w:iCs/>
          <w:sz w:val="20"/>
          <w:szCs w:val="20"/>
        </w:rPr>
        <w:t>offers</w:t>
      </w:r>
      <w:r w:rsidR="00220835">
        <w:rPr>
          <w:rFonts w:ascii="Verdana" w:hAnsi="Verdana"/>
          <w:iCs/>
          <w:sz w:val="20"/>
          <w:szCs w:val="20"/>
        </w:rPr>
        <w:t xml:space="preserve"> C</w:t>
      </w:r>
      <w:r w:rsidR="00DD43A4">
        <w:rPr>
          <w:rFonts w:ascii="Verdana" w:hAnsi="Verdana"/>
          <w:iCs/>
          <w:sz w:val="20"/>
          <w:szCs w:val="20"/>
        </w:rPr>
        <w:t>ommittee</w:t>
      </w:r>
      <w:r w:rsidR="004C4754">
        <w:rPr>
          <w:rFonts w:ascii="Verdana" w:hAnsi="Verdana"/>
          <w:iCs/>
          <w:sz w:val="20"/>
          <w:szCs w:val="20"/>
        </w:rPr>
        <w:t xml:space="preserve"> </w:t>
      </w:r>
      <w:r w:rsidR="00EE74B4">
        <w:rPr>
          <w:rFonts w:ascii="Verdana" w:hAnsi="Verdana"/>
          <w:iCs/>
          <w:sz w:val="20"/>
          <w:szCs w:val="20"/>
        </w:rPr>
        <w:t xml:space="preserve">members </w:t>
      </w:r>
      <w:r w:rsidR="004C4754">
        <w:rPr>
          <w:rFonts w:ascii="Verdana" w:hAnsi="Verdana"/>
          <w:iCs/>
          <w:sz w:val="20"/>
          <w:szCs w:val="20"/>
        </w:rPr>
        <w:t>helpful</w:t>
      </w:r>
      <w:r w:rsidR="00AD3A07">
        <w:rPr>
          <w:rFonts w:ascii="Verdana" w:hAnsi="Verdana"/>
          <w:iCs/>
          <w:sz w:val="20"/>
          <w:szCs w:val="20"/>
        </w:rPr>
        <w:t xml:space="preserve"> insight and an</w:t>
      </w:r>
      <w:r w:rsidR="00DD43A4">
        <w:rPr>
          <w:rFonts w:ascii="Verdana" w:hAnsi="Verdana"/>
          <w:iCs/>
          <w:sz w:val="20"/>
          <w:szCs w:val="20"/>
        </w:rPr>
        <w:t xml:space="preserve"> up to date </w:t>
      </w:r>
      <w:r w:rsidR="004C4754">
        <w:rPr>
          <w:rFonts w:ascii="Verdana" w:hAnsi="Verdana"/>
          <w:iCs/>
          <w:sz w:val="20"/>
          <w:szCs w:val="20"/>
        </w:rPr>
        <w:t>summary</w:t>
      </w:r>
      <w:r w:rsidR="00DD43A4">
        <w:rPr>
          <w:rFonts w:ascii="Verdana" w:hAnsi="Verdana"/>
          <w:iCs/>
          <w:sz w:val="20"/>
          <w:szCs w:val="20"/>
        </w:rPr>
        <w:t xml:space="preserve"> of the benefits and challenges associated with </w:t>
      </w:r>
      <w:r w:rsidR="00EE74B4">
        <w:rPr>
          <w:rFonts w:ascii="Verdana" w:hAnsi="Verdana"/>
          <w:iCs/>
          <w:sz w:val="20"/>
          <w:szCs w:val="20"/>
        </w:rPr>
        <w:t>ESG as a</w:t>
      </w:r>
      <w:r w:rsidR="009122B0">
        <w:rPr>
          <w:rFonts w:ascii="Verdana" w:hAnsi="Verdana"/>
          <w:iCs/>
          <w:sz w:val="20"/>
          <w:szCs w:val="20"/>
        </w:rPr>
        <w:t xml:space="preserve"> </w:t>
      </w:r>
      <w:r w:rsidR="004C4754">
        <w:rPr>
          <w:rFonts w:ascii="Verdana" w:hAnsi="Verdana"/>
          <w:iCs/>
          <w:sz w:val="20"/>
          <w:szCs w:val="20"/>
        </w:rPr>
        <w:t xml:space="preserve">complementary way of viewing investment risk. </w:t>
      </w:r>
      <w:r w:rsidR="00DD43A4">
        <w:rPr>
          <w:rFonts w:ascii="Verdana" w:hAnsi="Verdana"/>
          <w:iCs/>
          <w:sz w:val="20"/>
          <w:szCs w:val="20"/>
        </w:rPr>
        <w:t>The guide may help to enrich the</w:t>
      </w:r>
      <w:r w:rsidR="009122B0">
        <w:rPr>
          <w:rFonts w:ascii="Verdana" w:hAnsi="Verdana"/>
          <w:iCs/>
          <w:sz w:val="20"/>
          <w:szCs w:val="20"/>
        </w:rPr>
        <w:t xml:space="preserve"> C</w:t>
      </w:r>
      <w:r w:rsidR="004C4754">
        <w:rPr>
          <w:rFonts w:ascii="Verdana" w:hAnsi="Verdana"/>
          <w:iCs/>
          <w:sz w:val="20"/>
          <w:szCs w:val="20"/>
        </w:rPr>
        <w:t xml:space="preserve">ommittee's further </w:t>
      </w:r>
      <w:r w:rsidR="00DD43A4">
        <w:rPr>
          <w:rFonts w:ascii="Verdana" w:hAnsi="Verdana"/>
          <w:iCs/>
          <w:sz w:val="20"/>
          <w:szCs w:val="20"/>
        </w:rPr>
        <w:t xml:space="preserve">thinking </w:t>
      </w:r>
      <w:r w:rsidR="004C4754">
        <w:rPr>
          <w:rFonts w:ascii="Verdana" w:hAnsi="Verdana"/>
          <w:iCs/>
          <w:sz w:val="20"/>
          <w:szCs w:val="20"/>
        </w:rPr>
        <w:t xml:space="preserve">about RI </w:t>
      </w:r>
      <w:r w:rsidR="00EE74B4">
        <w:rPr>
          <w:rFonts w:ascii="Verdana" w:hAnsi="Verdana"/>
          <w:iCs/>
          <w:sz w:val="20"/>
          <w:szCs w:val="20"/>
        </w:rPr>
        <w:t xml:space="preserve">and </w:t>
      </w:r>
      <w:r w:rsidR="00DD43A4">
        <w:rPr>
          <w:rFonts w:ascii="Verdana" w:hAnsi="Verdana"/>
          <w:iCs/>
          <w:sz w:val="20"/>
          <w:szCs w:val="20"/>
        </w:rPr>
        <w:t xml:space="preserve">fiduciary duty </w:t>
      </w:r>
      <w:r w:rsidR="00EE74B4">
        <w:rPr>
          <w:rFonts w:ascii="Verdana" w:hAnsi="Verdana"/>
          <w:iCs/>
          <w:sz w:val="20"/>
          <w:szCs w:val="20"/>
        </w:rPr>
        <w:t xml:space="preserve">including </w:t>
      </w:r>
      <w:r w:rsidR="004C4754">
        <w:rPr>
          <w:rFonts w:ascii="Verdana" w:hAnsi="Verdana"/>
          <w:iCs/>
          <w:sz w:val="20"/>
          <w:szCs w:val="20"/>
        </w:rPr>
        <w:t xml:space="preserve">the way in which this translates into actions </w:t>
      </w:r>
      <w:r w:rsidR="009122B0">
        <w:rPr>
          <w:rFonts w:ascii="Verdana" w:hAnsi="Verdana"/>
          <w:iCs/>
          <w:sz w:val="20"/>
          <w:szCs w:val="20"/>
        </w:rPr>
        <w:t>undertaken by</w:t>
      </w:r>
      <w:r w:rsidR="004C4754">
        <w:rPr>
          <w:rFonts w:ascii="Verdana" w:hAnsi="Verdana"/>
          <w:iCs/>
          <w:sz w:val="20"/>
          <w:szCs w:val="20"/>
        </w:rPr>
        <w:t xml:space="preserve"> LPP as its provider of investment services.</w:t>
      </w:r>
    </w:p>
    <w:p w:rsidR="004C4754" w:rsidRDefault="004C4754" w:rsidP="004C4754">
      <w:pPr>
        <w:autoSpaceDE w:val="0"/>
        <w:autoSpaceDN w:val="0"/>
        <w:adjustRightInd w:val="0"/>
        <w:rPr>
          <w:rFonts w:ascii="Verdana" w:hAnsi="Verdana"/>
          <w:iCs/>
          <w:sz w:val="20"/>
          <w:szCs w:val="20"/>
        </w:rPr>
      </w:pPr>
    </w:p>
    <w:p w:rsidR="00BC2BB6" w:rsidRDefault="00220835" w:rsidP="004C4754">
      <w:pPr>
        <w:autoSpaceDE w:val="0"/>
        <w:autoSpaceDN w:val="0"/>
        <w:adjustRightInd w:val="0"/>
        <w:rPr>
          <w:rFonts w:ascii="Verdana" w:hAnsi="Verdana"/>
          <w:iCs/>
          <w:sz w:val="20"/>
          <w:szCs w:val="20"/>
        </w:rPr>
      </w:pPr>
      <w:r>
        <w:rPr>
          <w:rFonts w:ascii="Verdana" w:hAnsi="Verdana"/>
          <w:iCs/>
          <w:sz w:val="20"/>
          <w:szCs w:val="20"/>
        </w:rPr>
        <w:t>Within the last 12 months LCPF</w:t>
      </w:r>
      <w:r w:rsidR="009122B0">
        <w:rPr>
          <w:rFonts w:ascii="Verdana" w:hAnsi="Verdana"/>
          <w:iCs/>
          <w:sz w:val="20"/>
          <w:szCs w:val="20"/>
        </w:rPr>
        <w:t xml:space="preserve"> has invested additional time and resources to increase </w:t>
      </w:r>
      <w:r>
        <w:rPr>
          <w:rFonts w:ascii="Verdana" w:hAnsi="Verdana"/>
          <w:iCs/>
          <w:sz w:val="20"/>
          <w:szCs w:val="20"/>
        </w:rPr>
        <w:t>its</w:t>
      </w:r>
      <w:r w:rsidR="009122B0">
        <w:rPr>
          <w:rFonts w:ascii="Verdana" w:hAnsi="Verdana"/>
          <w:iCs/>
          <w:sz w:val="20"/>
          <w:szCs w:val="20"/>
        </w:rPr>
        <w:t xml:space="preserve"> focus on </w:t>
      </w:r>
      <w:r>
        <w:rPr>
          <w:rFonts w:ascii="Verdana" w:hAnsi="Verdana"/>
          <w:iCs/>
          <w:sz w:val="20"/>
          <w:szCs w:val="20"/>
        </w:rPr>
        <w:t>RI matters. This</w:t>
      </w:r>
      <w:r w:rsidR="009122B0">
        <w:rPr>
          <w:rFonts w:ascii="Verdana" w:hAnsi="Verdana"/>
          <w:iCs/>
          <w:sz w:val="20"/>
          <w:szCs w:val="20"/>
        </w:rPr>
        <w:t xml:space="preserve"> has coincided with gr</w:t>
      </w:r>
      <w:r>
        <w:rPr>
          <w:rFonts w:ascii="Verdana" w:hAnsi="Verdana"/>
          <w:iCs/>
          <w:sz w:val="20"/>
          <w:szCs w:val="20"/>
        </w:rPr>
        <w:t>owing</w:t>
      </w:r>
      <w:r w:rsidR="009122B0">
        <w:rPr>
          <w:rFonts w:ascii="Verdana" w:hAnsi="Verdana"/>
          <w:iCs/>
          <w:sz w:val="20"/>
          <w:szCs w:val="20"/>
        </w:rPr>
        <w:t xml:space="preserve"> emphasis on ESG within the media and </w:t>
      </w:r>
      <w:r w:rsidR="00EA1728">
        <w:rPr>
          <w:rFonts w:ascii="Verdana" w:hAnsi="Verdana"/>
          <w:iCs/>
          <w:sz w:val="20"/>
          <w:szCs w:val="20"/>
        </w:rPr>
        <w:t xml:space="preserve">explicit </w:t>
      </w:r>
      <w:r w:rsidR="00C6350D">
        <w:rPr>
          <w:rFonts w:ascii="Verdana" w:hAnsi="Verdana"/>
          <w:iCs/>
          <w:sz w:val="20"/>
          <w:szCs w:val="20"/>
        </w:rPr>
        <w:t>reference</w:t>
      </w:r>
      <w:r w:rsidR="00EA1728">
        <w:rPr>
          <w:rFonts w:ascii="Verdana" w:hAnsi="Verdana"/>
          <w:iCs/>
          <w:sz w:val="20"/>
          <w:szCs w:val="20"/>
        </w:rPr>
        <w:t xml:space="preserve"> </w:t>
      </w:r>
      <w:r w:rsidR="009122B0">
        <w:rPr>
          <w:rFonts w:ascii="Verdana" w:hAnsi="Verdana"/>
          <w:iCs/>
          <w:sz w:val="20"/>
          <w:szCs w:val="20"/>
        </w:rPr>
        <w:t xml:space="preserve">by </w:t>
      </w:r>
      <w:r>
        <w:rPr>
          <w:rFonts w:ascii="Verdana" w:hAnsi="Verdana"/>
          <w:iCs/>
          <w:sz w:val="20"/>
          <w:szCs w:val="20"/>
        </w:rPr>
        <w:t xml:space="preserve">the </w:t>
      </w:r>
      <w:r w:rsidR="009122B0">
        <w:rPr>
          <w:rFonts w:ascii="Verdana" w:hAnsi="Verdana"/>
          <w:iCs/>
          <w:sz w:val="20"/>
          <w:szCs w:val="20"/>
        </w:rPr>
        <w:t xml:space="preserve">DCLG </w:t>
      </w:r>
      <w:r w:rsidR="00C6350D">
        <w:rPr>
          <w:rFonts w:ascii="Verdana" w:hAnsi="Verdana"/>
          <w:iCs/>
          <w:sz w:val="20"/>
          <w:szCs w:val="20"/>
        </w:rPr>
        <w:t xml:space="preserve">within </w:t>
      </w:r>
      <w:r w:rsidR="009122B0">
        <w:rPr>
          <w:rFonts w:ascii="Verdana" w:hAnsi="Verdana"/>
          <w:iCs/>
          <w:sz w:val="20"/>
          <w:szCs w:val="20"/>
        </w:rPr>
        <w:t xml:space="preserve">its consultation on asset pooling and the revision of LGPS investment regulations.  </w:t>
      </w:r>
      <w:r w:rsidR="00C6350D">
        <w:rPr>
          <w:rFonts w:ascii="Verdana" w:hAnsi="Verdana"/>
          <w:iCs/>
          <w:sz w:val="20"/>
          <w:szCs w:val="20"/>
        </w:rPr>
        <w:t>T</w:t>
      </w:r>
      <w:r>
        <w:rPr>
          <w:rFonts w:ascii="Verdana" w:hAnsi="Verdana"/>
          <w:iCs/>
          <w:sz w:val="20"/>
          <w:szCs w:val="20"/>
        </w:rPr>
        <w:t xml:space="preserve">he DCLG is yet to publish its response to the consultation </w:t>
      </w:r>
      <w:r w:rsidR="00EA1728">
        <w:rPr>
          <w:rFonts w:ascii="Verdana" w:hAnsi="Verdana"/>
          <w:iCs/>
          <w:sz w:val="20"/>
          <w:szCs w:val="20"/>
        </w:rPr>
        <w:t>(</w:t>
      </w:r>
      <w:r>
        <w:rPr>
          <w:rFonts w:ascii="Verdana" w:hAnsi="Verdana"/>
          <w:iCs/>
          <w:sz w:val="20"/>
          <w:szCs w:val="20"/>
        </w:rPr>
        <w:t xml:space="preserve">which </w:t>
      </w:r>
      <w:r w:rsidR="00EA1728">
        <w:rPr>
          <w:rFonts w:ascii="Verdana" w:hAnsi="Verdana"/>
          <w:iCs/>
          <w:sz w:val="20"/>
          <w:szCs w:val="20"/>
        </w:rPr>
        <w:t xml:space="preserve">prompted a strong reaction to </w:t>
      </w:r>
      <w:r w:rsidR="00724131">
        <w:rPr>
          <w:rFonts w:ascii="Verdana" w:hAnsi="Verdana"/>
          <w:iCs/>
          <w:sz w:val="20"/>
          <w:szCs w:val="20"/>
        </w:rPr>
        <w:t>a</w:t>
      </w:r>
      <w:r w:rsidR="00EA1728">
        <w:rPr>
          <w:rFonts w:ascii="Verdana" w:hAnsi="Verdana"/>
          <w:iCs/>
          <w:sz w:val="20"/>
          <w:szCs w:val="20"/>
        </w:rPr>
        <w:t xml:space="preserve"> proposed embargo on politically driven screening and </w:t>
      </w:r>
      <w:r>
        <w:rPr>
          <w:rFonts w:ascii="Verdana" w:hAnsi="Verdana"/>
          <w:iCs/>
          <w:sz w:val="20"/>
          <w:szCs w:val="20"/>
        </w:rPr>
        <w:t>received more than 23,000 submissions</w:t>
      </w:r>
      <w:r w:rsidR="00EA1728">
        <w:rPr>
          <w:rFonts w:ascii="Verdana" w:hAnsi="Verdana"/>
          <w:iCs/>
          <w:sz w:val="20"/>
          <w:szCs w:val="20"/>
        </w:rPr>
        <w:t>)</w:t>
      </w:r>
      <w:r w:rsidR="00C6350D">
        <w:rPr>
          <w:rFonts w:ascii="Verdana" w:hAnsi="Verdana"/>
          <w:iCs/>
          <w:sz w:val="20"/>
          <w:szCs w:val="20"/>
        </w:rPr>
        <w:t>. Nevertheless,</w:t>
      </w:r>
      <w:r w:rsidR="00EA1728">
        <w:rPr>
          <w:rFonts w:ascii="Verdana" w:hAnsi="Verdana"/>
          <w:iCs/>
          <w:sz w:val="20"/>
          <w:szCs w:val="20"/>
        </w:rPr>
        <w:t xml:space="preserve"> the</w:t>
      </w:r>
      <w:r>
        <w:rPr>
          <w:rFonts w:ascii="Verdana" w:hAnsi="Verdana"/>
          <w:iCs/>
          <w:sz w:val="20"/>
          <w:szCs w:val="20"/>
        </w:rPr>
        <w:t xml:space="preserve"> </w:t>
      </w:r>
      <w:r w:rsidR="00EA1728">
        <w:rPr>
          <w:rFonts w:ascii="Verdana" w:hAnsi="Verdana"/>
          <w:iCs/>
          <w:sz w:val="20"/>
          <w:szCs w:val="20"/>
        </w:rPr>
        <w:t xml:space="preserve">agreement to prioritise </w:t>
      </w:r>
      <w:r>
        <w:rPr>
          <w:rFonts w:ascii="Verdana" w:hAnsi="Verdana"/>
          <w:iCs/>
          <w:sz w:val="20"/>
          <w:szCs w:val="20"/>
        </w:rPr>
        <w:t>a</w:t>
      </w:r>
      <w:r w:rsidR="00EA1728">
        <w:rPr>
          <w:rFonts w:ascii="Verdana" w:hAnsi="Verdana"/>
          <w:iCs/>
          <w:sz w:val="20"/>
          <w:szCs w:val="20"/>
        </w:rPr>
        <w:t>n RI</w:t>
      </w:r>
      <w:r>
        <w:rPr>
          <w:rFonts w:ascii="Verdana" w:hAnsi="Verdana"/>
          <w:iCs/>
          <w:sz w:val="20"/>
          <w:szCs w:val="20"/>
        </w:rPr>
        <w:t xml:space="preserve"> sub group to the LGPS Cross Pool Collaboration Group</w:t>
      </w:r>
      <w:r w:rsidR="004A0123" w:rsidRPr="004A0123">
        <w:rPr>
          <w:rFonts w:ascii="Verdana" w:hAnsi="Verdana"/>
          <w:iCs/>
          <w:sz w:val="20"/>
          <w:szCs w:val="20"/>
        </w:rPr>
        <w:t xml:space="preserve"> </w:t>
      </w:r>
      <w:r w:rsidR="004A0123">
        <w:rPr>
          <w:rFonts w:ascii="Verdana" w:hAnsi="Verdana"/>
          <w:iCs/>
          <w:sz w:val="20"/>
          <w:szCs w:val="20"/>
        </w:rPr>
        <w:t xml:space="preserve">has demonstrated </w:t>
      </w:r>
      <w:r w:rsidR="00411EC7">
        <w:rPr>
          <w:rFonts w:ascii="Verdana" w:hAnsi="Verdana"/>
          <w:iCs/>
          <w:sz w:val="20"/>
          <w:szCs w:val="20"/>
        </w:rPr>
        <w:t xml:space="preserve">a </w:t>
      </w:r>
      <w:r w:rsidR="00AD3A07">
        <w:rPr>
          <w:rFonts w:ascii="Verdana" w:hAnsi="Verdana"/>
          <w:iCs/>
          <w:sz w:val="20"/>
          <w:szCs w:val="20"/>
        </w:rPr>
        <w:t xml:space="preserve">recognition of </w:t>
      </w:r>
      <w:r w:rsidR="004A0123">
        <w:rPr>
          <w:rFonts w:ascii="Verdana" w:hAnsi="Verdana"/>
          <w:iCs/>
          <w:sz w:val="20"/>
          <w:szCs w:val="20"/>
        </w:rPr>
        <w:t xml:space="preserve">the importance of RI/ESG as part of </w:t>
      </w:r>
      <w:r w:rsidR="00AD3A07">
        <w:rPr>
          <w:rFonts w:ascii="Verdana" w:hAnsi="Verdana"/>
          <w:iCs/>
          <w:sz w:val="20"/>
          <w:szCs w:val="20"/>
        </w:rPr>
        <w:t xml:space="preserve">future arrangements for pooled </w:t>
      </w:r>
      <w:r w:rsidR="004A0123">
        <w:rPr>
          <w:rFonts w:ascii="Verdana" w:hAnsi="Verdana"/>
          <w:iCs/>
          <w:sz w:val="20"/>
          <w:szCs w:val="20"/>
        </w:rPr>
        <w:t>investment stewardship</w:t>
      </w:r>
      <w:r w:rsidR="00EA1728">
        <w:rPr>
          <w:rFonts w:ascii="Verdana" w:hAnsi="Verdana"/>
          <w:iCs/>
          <w:sz w:val="20"/>
          <w:szCs w:val="20"/>
        </w:rPr>
        <w:t>.</w:t>
      </w:r>
      <w:r>
        <w:rPr>
          <w:rFonts w:ascii="Verdana" w:hAnsi="Verdana"/>
          <w:iCs/>
          <w:sz w:val="20"/>
          <w:szCs w:val="20"/>
        </w:rPr>
        <w:t xml:space="preserve"> E</w:t>
      </w:r>
      <w:r w:rsidR="004A0123">
        <w:rPr>
          <w:rFonts w:ascii="Verdana" w:hAnsi="Verdana"/>
          <w:iCs/>
          <w:sz w:val="20"/>
          <w:szCs w:val="20"/>
        </w:rPr>
        <w:t>ach</w:t>
      </w:r>
      <w:r>
        <w:rPr>
          <w:rFonts w:ascii="Verdana" w:hAnsi="Verdana"/>
          <w:iCs/>
          <w:sz w:val="20"/>
          <w:szCs w:val="20"/>
        </w:rPr>
        <w:t xml:space="preserve"> developing pool has nominated </w:t>
      </w:r>
      <w:r w:rsidR="00EA1728">
        <w:rPr>
          <w:rFonts w:ascii="Verdana" w:hAnsi="Verdana"/>
          <w:iCs/>
          <w:sz w:val="20"/>
          <w:szCs w:val="20"/>
        </w:rPr>
        <w:t xml:space="preserve">a </w:t>
      </w:r>
      <w:r>
        <w:rPr>
          <w:rFonts w:ascii="Verdana" w:hAnsi="Verdana"/>
          <w:iCs/>
          <w:sz w:val="20"/>
          <w:szCs w:val="20"/>
        </w:rPr>
        <w:t xml:space="preserve">representative to attend the </w:t>
      </w:r>
      <w:r w:rsidR="00EA1728">
        <w:rPr>
          <w:rFonts w:ascii="Verdana" w:hAnsi="Verdana"/>
          <w:iCs/>
          <w:sz w:val="20"/>
          <w:szCs w:val="20"/>
        </w:rPr>
        <w:t xml:space="preserve">RI </w:t>
      </w:r>
      <w:r>
        <w:rPr>
          <w:rFonts w:ascii="Verdana" w:hAnsi="Verdana"/>
          <w:iCs/>
          <w:sz w:val="20"/>
          <w:szCs w:val="20"/>
        </w:rPr>
        <w:t>sub-group</w:t>
      </w:r>
      <w:r w:rsidR="00BC2BB6">
        <w:rPr>
          <w:rFonts w:ascii="Verdana" w:hAnsi="Verdana"/>
          <w:iCs/>
          <w:sz w:val="20"/>
          <w:szCs w:val="20"/>
        </w:rPr>
        <w:t xml:space="preserve">. </w:t>
      </w:r>
      <w:r>
        <w:rPr>
          <w:rFonts w:ascii="Verdana" w:hAnsi="Verdana"/>
          <w:iCs/>
          <w:sz w:val="20"/>
          <w:szCs w:val="20"/>
        </w:rPr>
        <w:t xml:space="preserve"> </w:t>
      </w:r>
    </w:p>
    <w:p w:rsidR="00BC2BB6" w:rsidRDefault="00BC2BB6" w:rsidP="004C4754">
      <w:pPr>
        <w:autoSpaceDE w:val="0"/>
        <w:autoSpaceDN w:val="0"/>
        <w:adjustRightInd w:val="0"/>
        <w:rPr>
          <w:rFonts w:ascii="Verdana" w:hAnsi="Verdana"/>
          <w:iCs/>
          <w:sz w:val="20"/>
          <w:szCs w:val="20"/>
        </w:rPr>
      </w:pPr>
    </w:p>
    <w:p w:rsidR="004A0123" w:rsidRDefault="00BC2BB6" w:rsidP="004C4754">
      <w:pPr>
        <w:autoSpaceDE w:val="0"/>
        <w:autoSpaceDN w:val="0"/>
        <w:adjustRightInd w:val="0"/>
        <w:rPr>
          <w:rFonts w:ascii="Verdana" w:hAnsi="Verdana"/>
          <w:iCs/>
          <w:sz w:val="20"/>
          <w:szCs w:val="20"/>
        </w:rPr>
      </w:pPr>
      <w:r>
        <w:rPr>
          <w:rFonts w:ascii="Verdana" w:hAnsi="Verdana"/>
          <w:iCs/>
          <w:sz w:val="20"/>
          <w:szCs w:val="20"/>
        </w:rPr>
        <w:t xml:space="preserve">The new group </w:t>
      </w:r>
      <w:r w:rsidR="00220835">
        <w:rPr>
          <w:rFonts w:ascii="Verdana" w:hAnsi="Verdana"/>
          <w:iCs/>
          <w:sz w:val="20"/>
          <w:szCs w:val="20"/>
        </w:rPr>
        <w:t xml:space="preserve">will </w:t>
      </w:r>
      <w:r w:rsidR="00C6350D">
        <w:rPr>
          <w:rFonts w:ascii="Verdana" w:hAnsi="Verdana"/>
          <w:iCs/>
          <w:sz w:val="20"/>
          <w:szCs w:val="20"/>
        </w:rPr>
        <w:t>act</w:t>
      </w:r>
      <w:r w:rsidR="00220835">
        <w:rPr>
          <w:rFonts w:ascii="Verdana" w:hAnsi="Verdana"/>
          <w:iCs/>
          <w:sz w:val="20"/>
          <w:szCs w:val="20"/>
        </w:rPr>
        <w:t xml:space="preserve"> a</w:t>
      </w:r>
      <w:r w:rsidR="00C6350D">
        <w:rPr>
          <w:rFonts w:ascii="Verdana" w:hAnsi="Verdana"/>
          <w:iCs/>
          <w:sz w:val="20"/>
          <w:szCs w:val="20"/>
        </w:rPr>
        <w:t>s</w:t>
      </w:r>
      <w:r w:rsidR="00220835">
        <w:rPr>
          <w:rFonts w:ascii="Verdana" w:hAnsi="Verdana"/>
          <w:iCs/>
          <w:sz w:val="20"/>
          <w:szCs w:val="20"/>
        </w:rPr>
        <w:t xml:space="preserve"> practical forum </w:t>
      </w:r>
      <w:r w:rsidR="00EA1728">
        <w:rPr>
          <w:rFonts w:ascii="Verdana" w:hAnsi="Verdana"/>
          <w:iCs/>
          <w:sz w:val="20"/>
          <w:szCs w:val="20"/>
        </w:rPr>
        <w:t>for sharing ideas and best practice and tackling</w:t>
      </w:r>
      <w:r w:rsidR="00220835">
        <w:rPr>
          <w:rFonts w:ascii="Verdana" w:hAnsi="Verdana"/>
          <w:iCs/>
          <w:sz w:val="20"/>
          <w:szCs w:val="20"/>
        </w:rPr>
        <w:t xml:space="preserve"> the issues which arise </w:t>
      </w:r>
      <w:r w:rsidR="00C6350D">
        <w:rPr>
          <w:rFonts w:ascii="Verdana" w:hAnsi="Verdana"/>
          <w:iCs/>
          <w:sz w:val="20"/>
          <w:szCs w:val="20"/>
        </w:rPr>
        <w:t>from</w:t>
      </w:r>
      <w:r w:rsidR="00220835">
        <w:rPr>
          <w:rFonts w:ascii="Verdana" w:hAnsi="Verdana"/>
          <w:iCs/>
          <w:sz w:val="20"/>
          <w:szCs w:val="20"/>
        </w:rPr>
        <w:t xml:space="preserve"> pooling </w:t>
      </w:r>
      <w:r w:rsidR="00EA1728">
        <w:rPr>
          <w:rFonts w:ascii="Verdana" w:hAnsi="Verdana"/>
          <w:iCs/>
          <w:sz w:val="20"/>
          <w:szCs w:val="20"/>
        </w:rPr>
        <w:t xml:space="preserve">including the </w:t>
      </w:r>
      <w:r w:rsidR="00220835">
        <w:rPr>
          <w:rFonts w:ascii="Verdana" w:hAnsi="Verdana"/>
          <w:iCs/>
          <w:sz w:val="20"/>
          <w:szCs w:val="20"/>
        </w:rPr>
        <w:t xml:space="preserve">harmonisation of </w:t>
      </w:r>
      <w:r w:rsidR="00EA1728">
        <w:rPr>
          <w:rFonts w:ascii="Verdana" w:hAnsi="Verdana"/>
          <w:iCs/>
          <w:sz w:val="20"/>
          <w:szCs w:val="20"/>
        </w:rPr>
        <w:t xml:space="preserve">existing </w:t>
      </w:r>
      <w:r w:rsidR="00220835">
        <w:rPr>
          <w:rFonts w:ascii="Verdana" w:hAnsi="Verdana"/>
          <w:iCs/>
          <w:sz w:val="20"/>
          <w:szCs w:val="20"/>
        </w:rPr>
        <w:t xml:space="preserve">policies and approaches and </w:t>
      </w:r>
      <w:r w:rsidR="00EA1728">
        <w:rPr>
          <w:rFonts w:ascii="Verdana" w:hAnsi="Verdana"/>
          <w:iCs/>
          <w:sz w:val="20"/>
          <w:szCs w:val="20"/>
        </w:rPr>
        <w:t>ensuring each fund's interests</w:t>
      </w:r>
      <w:r w:rsidR="00C6350D">
        <w:rPr>
          <w:rFonts w:ascii="Verdana" w:hAnsi="Verdana"/>
          <w:iCs/>
          <w:sz w:val="20"/>
          <w:szCs w:val="20"/>
        </w:rPr>
        <w:t xml:space="preserve"> </w:t>
      </w:r>
      <w:r w:rsidR="004A0123">
        <w:rPr>
          <w:rFonts w:ascii="Verdana" w:hAnsi="Verdana"/>
          <w:iCs/>
          <w:sz w:val="20"/>
          <w:szCs w:val="20"/>
        </w:rPr>
        <w:t xml:space="preserve">as an asset owner </w:t>
      </w:r>
      <w:r w:rsidR="00C6350D">
        <w:rPr>
          <w:rFonts w:ascii="Verdana" w:hAnsi="Verdana"/>
          <w:iCs/>
          <w:sz w:val="20"/>
          <w:szCs w:val="20"/>
        </w:rPr>
        <w:t>are represented</w:t>
      </w:r>
      <w:r w:rsidR="00EA1728">
        <w:rPr>
          <w:rFonts w:ascii="Verdana" w:hAnsi="Verdana"/>
          <w:iCs/>
          <w:sz w:val="20"/>
          <w:szCs w:val="20"/>
        </w:rPr>
        <w:t xml:space="preserve">. </w:t>
      </w:r>
      <w:r w:rsidR="004A0123">
        <w:rPr>
          <w:rFonts w:ascii="Verdana" w:hAnsi="Verdana"/>
          <w:iCs/>
          <w:sz w:val="20"/>
          <w:szCs w:val="20"/>
        </w:rPr>
        <w:t xml:space="preserve">The group </w:t>
      </w:r>
      <w:r w:rsidR="00EE74B4">
        <w:rPr>
          <w:rFonts w:ascii="Verdana" w:hAnsi="Verdana"/>
          <w:iCs/>
          <w:sz w:val="20"/>
          <w:szCs w:val="20"/>
        </w:rPr>
        <w:t xml:space="preserve">will also aim to </w:t>
      </w:r>
      <w:r w:rsidR="004A0123">
        <w:rPr>
          <w:rFonts w:ascii="Verdana" w:hAnsi="Verdana"/>
          <w:iCs/>
          <w:sz w:val="20"/>
          <w:szCs w:val="20"/>
        </w:rPr>
        <w:t xml:space="preserve">align and </w:t>
      </w:r>
      <w:r w:rsidR="00EE74B4">
        <w:rPr>
          <w:rFonts w:ascii="Verdana" w:hAnsi="Verdana"/>
          <w:iCs/>
          <w:sz w:val="20"/>
          <w:szCs w:val="20"/>
        </w:rPr>
        <w:t>place the collective strength of the LGPS</w:t>
      </w:r>
      <w:r w:rsidR="004A0123">
        <w:rPr>
          <w:rFonts w:ascii="Verdana" w:hAnsi="Verdana"/>
          <w:iCs/>
          <w:sz w:val="20"/>
          <w:szCs w:val="20"/>
        </w:rPr>
        <w:t xml:space="preserve"> behind initiatives which support the long term interests of </w:t>
      </w:r>
      <w:r>
        <w:rPr>
          <w:rFonts w:ascii="Verdana" w:hAnsi="Verdana"/>
          <w:iCs/>
          <w:sz w:val="20"/>
          <w:szCs w:val="20"/>
        </w:rPr>
        <w:t>Local Authority pension funds as asset owners on behalf of fund beneficiaries</w:t>
      </w:r>
      <w:r w:rsidR="004A0123">
        <w:rPr>
          <w:rFonts w:ascii="Verdana" w:hAnsi="Verdana"/>
          <w:iCs/>
          <w:sz w:val="20"/>
          <w:szCs w:val="20"/>
        </w:rPr>
        <w:t xml:space="preserve">, reflecting that pooling is set to increase the scale of joint investments and </w:t>
      </w:r>
      <w:r w:rsidR="00ED1535">
        <w:rPr>
          <w:rFonts w:ascii="Verdana" w:hAnsi="Verdana"/>
          <w:iCs/>
          <w:sz w:val="20"/>
          <w:szCs w:val="20"/>
        </w:rPr>
        <w:t xml:space="preserve">with it </w:t>
      </w:r>
      <w:r w:rsidR="004A0123">
        <w:rPr>
          <w:rFonts w:ascii="Verdana" w:hAnsi="Verdana"/>
          <w:iCs/>
          <w:sz w:val="20"/>
          <w:szCs w:val="20"/>
        </w:rPr>
        <w:t xml:space="preserve">the potential influence of the LGPS an </w:t>
      </w:r>
      <w:r w:rsidR="00AD3A07">
        <w:rPr>
          <w:rFonts w:ascii="Verdana" w:hAnsi="Verdana"/>
          <w:iCs/>
          <w:sz w:val="20"/>
          <w:szCs w:val="20"/>
        </w:rPr>
        <w:t xml:space="preserve">institutional </w:t>
      </w:r>
      <w:r w:rsidR="004A0123">
        <w:rPr>
          <w:rFonts w:ascii="Verdana" w:hAnsi="Verdana"/>
          <w:iCs/>
          <w:sz w:val="20"/>
          <w:szCs w:val="20"/>
        </w:rPr>
        <w:t xml:space="preserve">asset owner. </w:t>
      </w:r>
    </w:p>
    <w:p w:rsidR="004A0123" w:rsidRDefault="004A0123" w:rsidP="004C4754">
      <w:pPr>
        <w:autoSpaceDE w:val="0"/>
        <w:autoSpaceDN w:val="0"/>
        <w:adjustRightInd w:val="0"/>
        <w:rPr>
          <w:rFonts w:ascii="Verdana" w:hAnsi="Verdana"/>
          <w:iCs/>
          <w:sz w:val="20"/>
          <w:szCs w:val="20"/>
        </w:rPr>
      </w:pPr>
    </w:p>
    <w:p w:rsidR="00220835" w:rsidRDefault="00C6350D" w:rsidP="004C4754">
      <w:pPr>
        <w:autoSpaceDE w:val="0"/>
        <w:autoSpaceDN w:val="0"/>
        <w:adjustRightInd w:val="0"/>
        <w:rPr>
          <w:rFonts w:ascii="Verdana" w:hAnsi="Verdana"/>
          <w:iCs/>
          <w:sz w:val="20"/>
          <w:szCs w:val="20"/>
        </w:rPr>
      </w:pPr>
      <w:r>
        <w:rPr>
          <w:rFonts w:ascii="Verdana" w:hAnsi="Verdana"/>
          <w:iCs/>
          <w:sz w:val="20"/>
          <w:szCs w:val="20"/>
        </w:rPr>
        <w:t xml:space="preserve">The </w:t>
      </w:r>
      <w:r w:rsidR="00AD3A07">
        <w:rPr>
          <w:rFonts w:ascii="Verdana" w:hAnsi="Verdana"/>
          <w:iCs/>
          <w:sz w:val="20"/>
          <w:szCs w:val="20"/>
        </w:rPr>
        <w:t xml:space="preserve">RI </w:t>
      </w:r>
      <w:r>
        <w:rPr>
          <w:rFonts w:ascii="Verdana" w:hAnsi="Verdana"/>
          <w:iCs/>
          <w:sz w:val="20"/>
          <w:szCs w:val="20"/>
        </w:rPr>
        <w:t>sub-group</w:t>
      </w:r>
      <w:r w:rsidR="00AD3A07">
        <w:rPr>
          <w:rFonts w:ascii="Verdana" w:hAnsi="Verdana"/>
          <w:iCs/>
          <w:sz w:val="20"/>
          <w:szCs w:val="20"/>
        </w:rPr>
        <w:t xml:space="preserve"> </w:t>
      </w:r>
      <w:r w:rsidR="00EA1728">
        <w:rPr>
          <w:rFonts w:ascii="Verdana" w:hAnsi="Verdana"/>
          <w:iCs/>
          <w:sz w:val="20"/>
          <w:szCs w:val="20"/>
        </w:rPr>
        <w:t>is chaired by the Chief Pensions Officer of the Environment Agency Pension Fund</w:t>
      </w:r>
      <w:r w:rsidR="00AD3A07">
        <w:rPr>
          <w:rFonts w:ascii="Verdana" w:hAnsi="Verdana"/>
          <w:iCs/>
          <w:sz w:val="20"/>
          <w:szCs w:val="20"/>
        </w:rPr>
        <w:t xml:space="preserve"> and has already held its first meeting</w:t>
      </w:r>
      <w:r w:rsidR="00EE74B4">
        <w:rPr>
          <w:rFonts w:ascii="Verdana" w:hAnsi="Verdana"/>
          <w:iCs/>
          <w:sz w:val="20"/>
          <w:szCs w:val="20"/>
        </w:rPr>
        <w:t xml:space="preserve">. The interests of LCPF, </w:t>
      </w:r>
      <w:r>
        <w:rPr>
          <w:rFonts w:ascii="Verdana" w:hAnsi="Verdana"/>
          <w:iCs/>
          <w:sz w:val="20"/>
          <w:szCs w:val="20"/>
        </w:rPr>
        <w:t xml:space="preserve">LPFA </w:t>
      </w:r>
      <w:r w:rsidR="00EE74B4">
        <w:rPr>
          <w:rFonts w:ascii="Verdana" w:hAnsi="Verdana"/>
          <w:iCs/>
          <w:sz w:val="20"/>
          <w:szCs w:val="20"/>
        </w:rPr>
        <w:t xml:space="preserve">and other clients of LPP </w:t>
      </w:r>
      <w:r>
        <w:rPr>
          <w:rFonts w:ascii="Verdana" w:hAnsi="Verdana"/>
          <w:iCs/>
          <w:sz w:val="20"/>
          <w:szCs w:val="20"/>
        </w:rPr>
        <w:t xml:space="preserve">will be represented </w:t>
      </w:r>
      <w:r w:rsidR="004A0123">
        <w:rPr>
          <w:rFonts w:ascii="Verdana" w:hAnsi="Verdana"/>
          <w:iCs/>
          <w:sz w:val="20"/>
          <w:szCs w:val="20"/>
        </w:rPr>
        <w:t>by the</w:t>
      </w:r>
      <w:r>
        <w:rPr>
          <w:rFonts w:ascii="Verdana" w:hAnsi="Verdana"/>
          <w:iCs/>
          <w:sz w:val="20"/>
          <w:szCs w:val="20"/>
        </w:rPr>
        <w:t xml:space="preserve"> </w:t>
      </w:r>
      <w:r w:rsidR="00EE74B4">
        <w:rPr>
          <w:rFonts w:ascii="Verdana" w:hAnsi="Verdana"/>
          <w:iCs/>
          <w:sz w:val="20"/>
          <w:szCs w:val="20"/>
        </w:rPr>
        <w:t>RI Officer</w:t>
      </w:r>
      <w:r w:rsidR="004A0123">
        <w:rPr>
          <w:rFonts w:ascii="Verdana" w:hAnsi="Verdana"/>
          <w:iCs/>
          <w:sz w:val="20"/>
          <w:szCs w:val="20"/>
        </w:rPr>
        <w:t xml:space="preserve"> who will participate</w:t>
      </w:r>
      <w:r w:rsidR="00EE74B4">
        <w:rPr>
          <w:rFonts w:ascii="Verdana" w:hAnsi="Verdana"/>
          <w:iCs/>
          <w:sz w:val="20"/>
          <w:szCs w:val="20"/>
        </w:rPr>
        <w:t xml:space="preserve"> in the </w:t>
      </w:r>
      <w:r w:rsidR="00AD3A07">
        <w:rPr>
          <w:rFonts w:ascii="Verdana" w:hAnsi="Verdana"/>
          <w:iCs/>
          <w:sz w:val="20"/>
          <w:szCs w:val="20"/>
        </w:rPr>
        <w:t xml:space="preserve">development of a </w:t>
      </w:r>
      <w:r w:rsidR="00EE74B4">
        <w:rPr>
          <w:rFonts w:ascii="Verdana" w:hAnsi="Verdana"/>
          <w:iCs/>
          <w:sz w:val="20"/>
          <w:szCs w:val="20"/>
        </w:rPr>
        <w:t>work</w:t>
      </w:r>
      <w:r w:rsidR="00AD3A07">
        <w:rPr>
          <w:rFonts w:ascii="Verdana" w:hAnsi="Verdana"/>
          <w:iCs/>
          <w:sz w:val="20"/>
          <w:szCs w:val="20"/>
        </w:rPr>
        <w:t xml:space="preserve"> plan </w:t>
      </w:r>
      <w:r w:rsidR="00BC2BB6">
        <w:rPr>
          <w:rFonts w:ascii="Verdana" w:hAnsi="Verdana"/>
          <w:iCs/>
          <w:sz w:val="20"/>
          <w:szCs w:val="20"/>
        </w:rPr>
        <w:t xml:space="preserve">focussed on priorities </w:t>
      </w:r>
      <w:r w:rsidR="00AD3A07">
        <w:rPr>
          <w:rFonts w:ascii="Verdana" w:hAnsi="Verdana"/>
          <w:iCs/>
          <w:sz w:val="20"/>
          <w:szCs w:val="20"/>
        </w:rPr>
        <w:t xml:space="preserve">and </w:t>
      </w:r>
      <w:r w:rsidR="00ED1535">
        <w:rPr>
          <w:rFonts w:ascii="Verdana" w:hAnsi="Verdana"/>
          <w:iCs/>
          <w:sz w:val="20"/>
          <w:szCs w:val="20"/>
        </w:rPr>
        <w:t xml:space="preserve">support </w:t>
      </w:r>
      <w:r w:rsidR="00EE74B4">
        <w:rPr>
          <w:rFonts w:ascii="Verdana" w:hAnsi="Verdana"/>
          <w:iCs/>
          <w:sz w:val="20"/>
          <w:szCs w:val="20"/>
        </w:rPr>
        <w:t xml:space="preserve">the </w:t>
      </w:r>
      <w:r w:rsidR="00ED1535">
        <w:rPr>
          <w:rFonts w:ascii="Verdana" w:hAnsi="Verdana"/>
          <w:iCs/>
          <w:sz w:val="20"/>
          <w:szCs w:val="20"/>
        </w:rPr>
        <w:t xml:space="preserve">success of </w:t>
      </w:r>
      <w:r w:rsidR="00EE74B4">
        <w:rPr>
          <w:rFonts w:ascii="Verdana" w:hAnsi="Verdana"/>
          <w:iCs/>
          <w:sz w:val="20"/>
          <w:szCs w:val="20"/>
        </w:rPr>
        <w:t xml:space="preserve">collaborations and </w:t>
      </w:r>
      <w:r w:rsidR="00AD3A07">
        <w:rPr>
          <w:rFonts w:ascii="Verdana" w:hAnsi="Verdana"/>
          <w:iCs/>
          <w:sz w:val="20"/>
          <w:szCs w:val="20"/>
        </w:rPr>
        <w:t xml:space="preserve">wider cross pool </w:t>
      </w:r>
      <w:r w:rsidR="00EE74B4">
        <w:rPr>
          <w:rFonts w:ascii="Verdana" w:hAnsi="Verdana"/>
          <w:iCs/>
          <w:sz w:val="20"/>
          <w:szCs w:val="20"/>
        </w:rPr>
        <w:t xml:space="preserve">initiatives which develop from </w:t>
      </w:r>
      <w:r w:rsidR="00BC2BB6">
        <w:rPr>
          <w:rFonts w:ascii="Verdana" w:hAnsi="Verdana"/>
          <w:iCs/>
          <w:sz w:val="20"/>
          <w:szCs w:val="20"/>
        </w:rPr>
        <w:t>this</w:t>
      </w:r>
      <w:r w:rsidR="004A0123">
        <w:rPr>
          <w:rFonts w:ascii="Verdana" w:hAnsi="Verdana"/>
          <w:iCs/>
          <w:sz w:val="20"/>
          <w:szCs w:val="20"/>
        </w:rPr>
        <w:t>.</w:t>
      </w:r>
    </w:p>
    <w:p w:rsidR="00EE74B4" w:rsidRDefault="00EE74B4" w:rsidP="004C4754">
      <w:pPr>
        <w:autoSpaceDE w:val="0"/>
        <w:autoSpaceDN w:val="0"/>
        <w:adjustRightInd w:val="0"/>
        <w:rPr>
          <w:rFonts w:ascii="Verdana" w:hAnsi="Verdana"/>
          <w:iCs/>
          <w:sz w:val="20"/>
          <w:szCs w:val="20"/>
        </w:rPr>
      </w:pPr>
    </w:p>
    <w:p w:rsidR="004C4754" w:rsidRPr="007A0579" w:rsidRDefault="004C4754" w:rsidP="004C4754">
      <w:pPr>
        <w:autoSpaceDE w:val="0"/>
        <w:autoSpaceDN w:val="0"/>
        <w:adjustRightInd w:val="0"/>
        <w:rPr>
          <w:rFonts w:ascii="Verdana" w:hAnsi="Verdana"/>
          <w:sz w:val="20"/>
          <w:szCs w:val="20"/>
        </w:rPr>
      </w:pPr>
    </w:p>
    <w:sectPr w:rsidR="004C4754" w:rsidRPr="007A05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7D1" w:rsidRDefault="00DE07D1" w:rsidP="00F712EE">
      <w:r>
        <w:separator/>
      </w:r>
    </w:p>
  </w:endnote>
  <w:endnote w:type="continuationSeparator" w:id="0">
    <w:p w:rsidR="00DE07D1" w:rsidRDefault="00DE07D1" w:rsidP="00F7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95">
    <w:panose1 w:val="00000000000000000000"/>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3B97o00">
    <w:panose1 w:val="00000000000000000000"/>
    <w:charset w:val="00"/>
    <w:family w:val="auto"/>
    <w:notTrueType/>
    <w:pitch w:val="default"/>
    <w:sig w:usb0="00000003" w:usb1="00000000" w:usb2="00000000" w:usb3="00000000" w:csb0="00000001" w:csb1="00000000"/>
  </w:font>
  <w:font w:name="TT3BA2o00">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D1" w:rsidRDefault="00DE07D1">
    <w:pPr>
      <w:ind w:right="260"/>
      <w:rPr>
        <w:color w:val="0F243E" w:themeColor="text2" w:themeShade="80"/>
        <w:sz w:val="26"/>
        <w:szCs w:val="26"/>
      </w:rPr>
    </w:pPr>
    <w:r w:rsidRPr="005D4318">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6553422D" wp14:editId="461EAF2F">
              <wp:simplePos x="0" y="0"/>
              <mc:AlternateContent>
                <mc:Choice Requires="wp14">
                  <wp:positionH relativeFrom="page">
                    <wp14:pctPosHOffset>91000</wp14:pctPosHOffset>
                  </wp:positionH>
                </mc:Choice>
                <mc:Fallback>
                  <wp:positionH relativeFrom="page">
                    <wp:posOffset>6879590</wp:posOffset>
                  </wp:positionH>
                </mc:Fallback>
              </mc:AlternateContent>
              <wp:positionV relativeFrom="page">
                <wp:posOffset>9847772</wp:posOffset>
              </wp:positionV>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7D1" w:rsidRPr="00417B80" w:rsidRDefault="00DE07D1">
                          <w:pPr>
                            <w:jc w:val="center"/>
                            <w:rPr>
                              <w:rFonts w:ascii="Verdana" w:hAnsi="Verdana"/>
                            </w:rPr>
                          </w:pPr>
                          <w:r w:rsidRPr="00417B80">
                            <w:rPr>
                              <w:rFonts w:ascii="Verdana" w:hAnsi="Verdana"/>
                            </w:rPr>
                            <w:fldChar w:fldCharType="begin"/>
                          </w:r>
                          <w:r w:rsidRPr="00417B80">
                            <w:rPr>
                              <w:rFonts w:ascii="Verdana" w:hAnsi="Verdana"/>
                            </w:rPr>
                            <w:instrText xml:space="preserve"> PAGE  \* Arabic  \* MERGEFORMAT </w:instrText>
                          </w:r>
                          <w:r w:rsidRPr="00417B80">
                            <w:rPr>
                              <w:rFonts w:ascii="Verdana" w:hAnsi="Verdana"/>
                            </w:rPr>
                            <w:fldChar w:fldCharType="separate"/>
                          </w:r>
                          <w:r w:rsidR="00F91E15">
                            <w:rPr>
                              <w:rFonts w:ascii="Verdana" w:hAnsi="Verdana"/>
                              <w:noProof/>
                            </w:rPr>
                            <w:t>1</w:t>
                          </w:r>
                          <w:r w:rsidRPr="00417B80">
                            <w:rPr>
                              <w:rFonts w:ascii="Verdana" w:hAnsi="Verdana"/>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553422D" id="_x0000_t202" coordsize="21600,21600" o:spt="202" path="m,l,21600r21600,l21600,xe">
              <v:stroke joinstyle="miter"/>
              <v:path gradientshapeok="t" o:connecttype="rect"/>
            </v:shapetype>
            <v:shape id="Text Box 49" o:spid="_x0000_s1026" type="#_x0000_t202" style="position:absolute;margin-left:0;margin-top:775.4pt;width:30.6pt;height:24.65pt;z-index:251659264;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" fillcolor="white [3201]" stroked="f" strokeweight=".5pt">
              <v:textbox style="mso-fit-shape-to-text:t" inset="0,,0">
                <w:txbxContent>
                  <w:p w:rsidR="00DE07D1" w:rsidRPr="00417B80" w:rsidRDefault="00DE07D1">
                    <w:pPr>
                      <w:jc w:val="center"/>
                      <w:rPr>
                        <w:rFonts w:ascii="Verdana" w:hAnsi="Verdana"/>
                      </w:rPr>
                    </w:pPr>
                    <w:r w:rsidRPr="00417B80">
                      <w:rPr>
                        <w:rFonts w:ascii="Verdana" w:hAnsi="Verdana"/>
                      </w:rPr>
                      <w:fldChar w:fldCharType="begin"/>
                    </w:r>
                    <w:r w:rsidRPr="00417B80">
                      <w:rPr>
                        <w:rFonts w:ascii="Verdana" w:hAnsi="Verdana"/>
                      </w:rPr>
                      <w:instrText xml:space="preserve"> PAGE  \* Arabic  \* MERGEFORMAT </w:instrText>
                    </w:r>
                    <w:r w:rsidRPr="00417B80">
                      <w:rPr>
                        <w:rFonts w:ascii="Verdana" w:hAnsi="Verdana"/>
                      </w:rPr>
                      <w:fldChar w:fldCharType="separate"/>
                    </w:r>
                    <w:r w:rsidR="00F91E15">
                      <w:rPr>
                        <w:rFonts w:ascii="Verdana" w:hAnsi="Verdana"/>
                        <w:noProof/>
                      </w:rPr>
                      <w:t>1</w:t>
                    </w:r>
                    <w:r w:rsidRPr="00417B80">
                      <w:rPr>
                        <w:rFonts w:ascii="Verdana" w:hAnsi="Verdana"/>
                      </w:rPr>
                      <w:fldChar w:fldCharType="end"/>
                    </w:r>
                  </w:p>
                </w:txbxContent>
              </v:textbox>
              <w10:wrap anchorx="page" anchory="page"/>
            </v:shape>
          </w:pict>
        </mc:Fallback>
      </mc:AlternateContent>
    </w:r>
  </w:p>
  <w:p w:rsidR="00DE07D1" w:rsidRPr="005D4318" w:rsidRDefault="00DE07D1" w:rsidP="005D4318">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7D1" w:rsidRDefault="00DE07D1" w:rsidP="00F712EE">
      <w:r>
        <w:separator/>
      </w:r>
    </w:p>
  </w:footnote>
  <w:footnote w:type="continuationSeparator" w:id="0">
    <w:p w:rsidR="00DE07D1" w:rsidRDefault="00DE07D1" w:rsidP="00F7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D1" w:rsidRDefault="00DE07D1" w:rsidP="006A2F04">
    <w:pPr>
      <w:pStyle w:val="Header"/>
      <w:jc w:val="right"/>
    </w:pPr>
    <w:r>
      <w:rPr>
        <w:rFonts w:ascii="Verdana" w:hAnsi="Verdana"/>
        <w:noProof/>
        <w:lang w:eastAsia="en-GB"/>
      </w:rPr>
      <w:drawing>
        <wp:inline distT="0" distB="0" distL="0" distR="0" wp14:anchorId="26982918" wp14:editId="366D4FB1">
          <wp:extent cx="2286000" cy="1137920"/>
          <wp:effectExtent l="0" t="0" r="0" b="5080"/>
          <wp:docPr id="1" name="Picture 1" descr="C:\Users\bartholomew.nash\AppData\Local\Microsoft\Windows\Temporary Internet Files\Content.Outlook\580EUJXJ\LPP Master Logotype rgb 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holomew.nash\AppData\Local\Microsoft\Windows\Temporary Internet Files\Content.Outlook\580EUJXJ\LPP Master Logotype rgb 8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37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8B"/>
    <w:multiLevelType w:val="hybridMultilevel"/>
    <w:tmpl w:val="41ACD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1CC1"/>
    <w:multiLevelType w:val="hybridMultilevel"/>
    <w:tmpl w:val="9B62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41B42"/>
    <w:multiLevelType w:val="hybridMultilevel"/>
    <w:tmpl w:val="CF64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17C94"/>
    <w:multiLevelType w:val="hybridMultilevel"/>
    <w:tmpl w:val="B22CE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0026F"/>
    <w:multiLevelType w:val="hybridMultilevel"/>
    <w:tmpl w:val="32B4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526E1"/>
    <w:multiLevelType w:val="hybridMultilevel"/>
    <w:tmpl w:val="6CBE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654E7"/>
    <w:multiLevelType w:val="multilevel"/>
    <w:tmpl w:val="D2127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B35E1"/>
    <w:multiLevelType w:val="hybridMultilevel"/>
    <w:tmpl w:val="D6BA2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F68A6"/>
    <w:multiLevelType w:val="hybridMultilevel"/>
    <w:tmpl w:val="21D4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C1557"/>
    <w:multiLevelType w:val="hybridMultilevel"/>
    <w:tmpl w:val="6F3824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8E054F"/>
    <w:multiLevelType w:val="hybridMultilevel"/>
    <w:tmpl w:val="A98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D60B6"/>
    <w:multiLevelType w:val="hybridMultilevel"/>
    <w:tmpl w:val="E250A42A"/>
    <w:lvl w:ilvl="0" w:tplc="55203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24B77"/>
    <w:multiLevelType w:val="hybridMultilevel"/>
    <w:tmpl w:val="C0AC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46AAA"/>
    <w:multiLevelType w:val="hybridMultilevel"/>
    <w:tmpl w:val="8B6A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D72DD"/>
    <w:multiLevelType w:val="hybridMultilevel"/>
    <w:tmpl w:val="7472AA9C"/>
    <w:lvl w:ilvl="0" w:tplc="55203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3"/>
  </w:num>
  <w:num w:numId="5">
    <w:abstractNumId w:val="0"/>
  </w:num>
  <w:num w:numId="6">
    <w:abstractNumId w:val="8"/>
  </w:num>
  <w:num w:numId="7">
    <w:abstractNumId w:val="1"/>
  </w:num>
  <w:num w:numId="8">
    <w:abstractNumId w:val="7"/>
  </w:num>
  <w:num w:numId="9">
    <w:abstractNumId w:val="5"/>
  </w:num>
  <w:num w:numId="10">
    <w:abstractNumId w:val="10"/>
  </w:num>
  <w:num w:numId="11">
    <w:abstractNumId w:val="14"/>
  </w:num>
  <w:num w:numId="12">
    <w:abstractNumId w:val="11"/>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07"/>
    <w:rsid w:val="00010659"/>
    <w:rsid w:val="00070511"/>
    <w:rsid w:val="000A1AD8"/>
    <w:rsid w:val="000B38E8"/>
    <w:rsid w:val="001315DC"/>
    <w:rsid w:val="0013705A"/>
    <w:rsid w:val="00195082"/>
    <w:rsid w:val="001E1380"/>
    <w:rsid w:val="00220835"/>
    <w:rsid w:val="00225D26"/>
    <w:rsid w:val="002312D6"/>
    <w:rsid w:val="0025215E"/>
    <w:rsid w:val="00265DB0"/>
    <w:rsid w:val="00276721"/>
    <w:rsid w:val="0028080C"/>
    <w:rsid w:val="0028114B"/>
    <w:rsid w:val="00294040"/>
    <w:rsid w:val="00317665"/>
    <w:rsid w:val="00394940"/>
    <w:rsid w:val="003E2FE9"/>
    <w:rsid w:val="003E6C16"/>
    <w:rsid w:val="003F7568"/>
    <w:rsid w:val="00410414"/>
    <w:rsid w:val="00411EC7"/>
    <w:rsid w:val="00417B80"/>
    <w:rsid w:val="004419F0"/>
    <w:rsid w:val="004A0123"/>
    <w:rsid w:val="004C04A4"/>
    <w:rsid w:val="004C4754"/>
    <w:rsid w:val="004E4093"/>
    <w:rsid w:val="00507B84"/>
    <w:rsid w:val="00517888"/>
    <w:rsid w:val="00574C33"/>
    <w:rsid w:val="005B6DC2"/>
    <w:rsid w:val="005D33DB"/>
    <w:rsid w:val="005D4318"/>
    <w:rsid w:val="00617233"/>
    <w:rsid w:val="006451C7"/>
    <w:rsid w:val="00660C65"/>
    <w:rsid w:val="00670709"/>
    <w:rsid w:val="00674A84"/>
    <w:rsid w:val="0068641D"/>
    <w:rsid w:val="006A2F04"/>
    <w:rsid w:val="00724131"/>
    <w:rsid w:val="00763A4B"/>
    <w:rsid w:val="007A0579"/>
    <w:rsid w:val="007A4F54"/>
    <w:rsid w:val="007D1376"/>
    <w:rsid w:val="00833F76"/>
    <w:rsid w:val="00841BC1"/>
    <w:rsid w:val="00856D67"/>
    <w:rsid w:val="008C6DA0"/>
    <w:rsid w:val="009028EC"/>
    <w:rsid w:val="009122B0"/>
    <w:rsid w:val="00913FF8"/>
    <w:rsid w:val="00990762"/>
    <w:rsid w:val="009E3221"/>
    <w:rsid w:val="00A238AC"/>
    <w:rsid w:val="00A5305E"/>
    <w:rsid w:val="00AC697F"/>
    <w:rsid w:val="00AD0AB1"/>
    <w:rsid w:val="00AD3A07"/>
    <w:rsid w:val="00AD5F1A"/>
    <w:rsid w:val="00AD6D2C"/>
    <w:rsid w:val="00AE0802"/>
    <w:rsid w:val="00AE5ECC"/>
    <w:rsid w:val="00B406AE"/>
    <w:rsid w:val="00B50947"/>
    <w:rsid w:val="00B879D1"/>
    <w:rsid w:val="00BC2BB6"/>
    <w:rsid w:val="00BF13EA"/>
    <w:rsid w:val="00C00B07"/>
    <w:rsid w:val="00C6350D"/>
    <w:rsid w:val="00CD4E6A"/>
    <w:rsid w:val="00D02CB0"/>
    <w:rsid w:val="00D15DFE"/>
    <w:rsid w:val="00D43476"/>
    <w:rsid w:val="00D66DD9"/>
    <w:rsid w:val="00D8569E"/>
    <w:rsid w:val="00D94F2C"/>
    <w:rsid w:val="00DD43A4"/>
    <w:rsid w:val="00DE07D1"/>
    <w:rsid w:val="00DF1DF9"/>
    <w:rsid w:val="00E008FB"/>
    <w:rsid w:val="00E12F07"/>
    <w:rsid w:val="00E403B4"/>
    <w:rsid w:val="00E55EFA"/>
    <w:rsid w:val="00E56A78"/>
    <w:rsid w:val="00E94738"/>
    <w:rsid w:val="00EA1728"/>
    <w:rsid w:val="00EA7A19"/>
    <w:rsid w:val="00ED1535"/>
    <w:rsid w:val="00ED73A5"/>
    <w:rsid w:val="00ED7A01"/>
    <w:rsid w:val="00EE258F"/>
    <w:rsid w:val="00EE43CF"/>
    <w:rsid w:val="00EE74B4"/>
    <w:rsid w:val="00EE7C32"/>
    <w:rsid w:val="00F0703C"/>
    <w:rsid w:val="00F101D3"/>
    <w:rsid w:val="00F2518C"/>
    <w:rsid w:val="00F262A4"/>
    <w:rsid w:val="00F42129"/>
    <w:rsid w:val="00F53C91"/>
    <w:rsid w:val="00F712EE"/>
    <w:rsid w:val="00F91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5893405-D2B2-4676-A464-C4BB4343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07"/>
    <w:pPr>
      <w:spacing w:after="0" w:line="240" w:lineRule="auto"/>
    </w:pPr>
    <w:rPr>
      <w:rFonts w:ascii="Calibri" w:hAnsi="Calibri" w:cs="Times New Roman"/>
    </w:rPr>
  </w:style>
  <w:style w:type="paragraph" w:styleId="Heading6">
    <w:name w:val="heading 6"/>
    <w:basedOn w:val="Normal"/>
    <w:next w:val="Normal"/>
    <w:link w:val="Heading6Char"/>
    <w:qFormat/>
    <w:rsid w:val="00E56A78"/>
    <w:pPr>
      <w:keepNext/>
      <w:widowControl w:val="0"/>
      <w:outlineLvl w:val="5"/>
    </w:pPr>
    <w:rPr>
      <w:rFonts w:ascii="Frutiger 95" w:eastAsia="Times New Roman" w:hAnsi="Frutiger 95"/>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EE"/>
    <w:pPr>
      <w:tabs>
        <w:tab w:val="center" w:pos="4513"/>
        <w:tab w:val="right" w:pos="9026"/>
      </w:tabs>
    </w:pPr>
  </w:style>
  <w:style w:type="character" w:customStyle="1" w:styleId="HeaderChar">
    <w:name w:val="Header Char"/>
    <w:basedOn w:val="DefaultParagraphFont"/>
    <w:link w:val="Header"/>
    <w:uiPriority w:val="99"/>
    <w:rsid w:val="00F712EE"/>
    <w:rPr>
      <w:rFonts w:ascii="Calibri" w:hAnsi="Calibri" w:cs="Times New Roman"/>
    </w:rPr>
  </w:style>
  <w:style w:type="paragraph" w:styleId="Footer">
    <w:name w:val="footer"/>
    <w:basedOn w:val="Normal"/>
    <w:link w:val="FooterChar"/>
    <w:uiPriority w:val="99"/>
    <w:unhideWhenUsed/>
    <w:rsid w:val="00F712EE"/>
    <w:pPr>
      <w:tabs>
        <w:tab w:val="center" w:pos="4513"/>
        <w:tab w:val="right" w:pos="9026"/>
      </w:tabs>
    </w:pPr>
  </w:style>
  <w:style w:type="character" w:customStyle="1" w:styleId="FooterChar">
    <w:name w:val="Footer Char"/>
    <w:basedOn w:val="DefaultParagraphFont"/>
    <w:link w:val="Footer"/>
    <w:uiPriority w:val="99"/>
    <w:rsid w:val="00F712EE"/>
    <w:rPr>
      <w:rFonts w:ascii="Calibri" w:hAnsi="Calibri" w:cs="Times New Roman"/>
    </w:rPr>
  </w:style>
  <w:style w:type="table" w:styleId="TableGrid">
    <w:name w:val="Table Grid"/>
    <w:basedOn w:val="TableNormal"/>
    <w:uiPriority w:val="59"/>
    <w:rsid w:val="007D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1D3"/>
    <w:rPr>
      <w:color w:val="0000FF" w:themeColor="hyperlink"/>
      <w:u w:val="single"/>
    </w:rPr>
  </w:style>
  <w:style w:type="character" w:customStyle="1" w:styleId="Heading6Char">
    <w:name w:val="Heading 6 Char"/>
    <w:basedOn w:val="DefaultParagraphFont"/>
    <w:link w:val="Heading6"/>
    <w:rsid w:val="00E56A78"/>
    <w:rPr>
      <w:rFonts w:ascii="Frutiger 95" w:eastAsia="Times New Roman" w:hAnsi="Frutiger 95" w:cs="Times New Roman"/>
      <w:b/>
      <w:snapToGrid w:val="0"/>
      <w:szCs w:val="20"/>
    </w:rPr>
  </w:style>
  <w:style w:type="paragraph" w:styleId="ListParagraph">
    <w:name w:val="List Paragraph"/>
    <w:basedOn w:val="Normal"/>
    <w:uiPriority w:val="34"/>
    <w:qFormat/>
    <w:rsid w:val="00E56A78"/>
    <w:pPr>
      <w:widowControl w:val="0"/>
      <w:ind w:left="720"/>
    </w:pPr>
    <w:rPr>
      <w:rFonts w:ascii="Palatino" w:eastAsia="Times New Roman" w:hAnsi="Palatino"/>
      <w:snapToGrid w:val="0"/>
      <w:sz w:val="20"/>
      <w:szCs w:val="20"/>
    </w:rPr>
  </w:style>
  <w:style w:type="paragraph" w:styleId="BalloonText">
    <w:name w:val="Balloon Text"/>
    <w:basedOn w:val="Normal"/>
    <w:link w:val="BalloonTextChar"/>
    <w:uiPriority w:val="99"/>
    <w:semiHidden/>
    <w:unhideWhenUsed/>
    <w:rsid w:val="006A2F04"/>
    <w:rPr>
      <w:rFonts w:ascii="Tahoma" w:hAnsi="Tahoma" w:cs="Tahoma"/>
      <w:sz w:val="16"/>
      <w:szCs w:val="16"/>
    </w:rPr>
  </w:style>
  <w:style w:type="character" w:customStyle="1" w:styleId="BalloonTextChar">
    <w:name w:val="Balloon Text Char"/>
    <w:basedOn w:val="DefaultParagraphFont"/>
    <w:link w:val="BalloonText"/>
    <w:uiPriority w:val="99"/>
    <w:semiHidden/>
    <w:rsid w:val="006A2F04"/>
    <w:rPr>
      <w:rFonts w:ascii="Tahoma" w:hAnsi="Tahoma" w:cs="Tahoma"/>
      <w:sz w:val="16"/>
      <w:szCs w:val="16"/>
    </w:rPr>
  </w:style>
  <w:style w:type="paragraph" w:customStyle="1" w:styleId="Level2">
    <w:name w:val="Level 2"/>
    <w:basedOn w:val="Normal"/>
    <w:rsid w:val="00E55EFA"/>
    <w:pPr>
      <w:spacing w:after="120"/>
      <w:jc w:val="both"/>
      <w:outlineLvl w:val="1"/>
    </w:pPr>
    <w:rPr>
      <w:rFonts w:ascii="Arial" w:eastAsia="Times New Roman" w:hAnsi="Arial"/>
      <w:snapToGrid w:val="0"/>
      <w:sz w:val="24"/>
      <w:szCs w:val="20"/>
    </w:rPr>
  </w:style>
  <w:style w:type="character" w:styleId="Emphasis">
    <w:name w:val="Emphasis"/>
    <w:basedOn w:val="DefaultParagraphFont"/>
    <w:uiPriority w:val="20"/>
    <w:qFormat/>
    <w:rsid w:val="00E94738"/>
    <w:rPr>
      <w:i/>
      <w:iCs/>
    </w:rPr>
  </w:style>
  <w:style w:type="paragraph" w:styleId="NormalWeb">
    <w:name w:val="Normal (Web)"/>
    <w:basedOn w:val="Normal"/>
    <w:uiPriority w:val="99"/>
    <w:semiHidden/>
    <w:unhideWhenUsed/>
    <w:rsid w:val="00E94738"/>
    <w:pPr>
      <w:spacing w:before="100" w:beforeAutospacing="1" w:after="225"/>
    </w:pPr>
    <w:rPr>
      <w:rFonts w:ascii="Times New Roman" w:eastAsia="Times New Roman" w:hAnsi="Times New Roman"/>
      <w:color w:val="888888"/>
      <w:sz w:val="23"/>
      <w:szCs w:val="23"/>
      <w:lang w:eastAsia="en-GB"/>
    </w:rPr>
  </w:style>
  <w:style w:type="paragraph" w:customStyle="1" w:styleId="Default">
    <w:name w:val="Default"/>
    <w:rsid w:val="008C6DA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76929">
      <w:bodyDiv w:val="1"/>
      <w:marLeft w:val="0"/>
      <w:marRight w:val="0"/>
      <w:marTop w:val="0"/>
      <w:marBottom w:val="0"/>
      <w:divBdr>
        <w:top w:val="none" w:sz="0" w:space="0" w:color="auto"/>
        <w:left w:val="none" w:sz="0" w:space="0" w:color="auto"/>
        <w:bottom w:val="none" w:sz="0" w:space="0" w:color="auto"/>
        <w:right w:val="none" w:sz="0" w:space="0" w:color="auto"/>
      </w:divBdr>
    </w:div>
    <w:div w:id="437723433">
      <w:bodyDiv w:val="1"/>
      <w:marLeft w:val="0"/>
      <w:marRight w:val="0"/>
      <w:marTop w:val="0"/>
      <w:marBottom w:val="0"/>
      <w:divBdr>
        <w:top w:val="none" w:sz="0" w:space="0" w:color="auto"/>
        <w:left w:val="none" w:sz="0" w:space="0" w:color="auto"/>
        <w:bottom w:val="none" w:sz="0" w:space="0" w:color="auto"/>
        <w:right w:val="none" w:sz="0" w:space="0" w:color="auto"/>
      </w:divBdr>
    </w:div>
    <w:div w:id="1101950382">
      <w:bodyDiv w:val="1"/>
      <w:marLeft w:val="0"/>
      <w:marRight w:val="0"/>
      <w:marTop w:val="0"/>
      <w:marBottom w:val="0"/>
      <w:divBdr>
        <w:top w:val="none" w:sz="0" w:space="0" w:color="auto"/>
        <w:left w:val="none" w:sz="0" w:space="0" w:color="auto"/>
        <w:bottom w:val="none" w:sz="0" w:space="0" w:color="auto"/>
        <w:right w:val="none" w:sz="0" w:space="0" w:color="auto"/>
      </w:divBdr>
    </w:div>
    <w:div w:id="1114012025">
      <w:bodyDiv w:val="1"/>
      <w:marLeft w:val="0"/>
      <w:marRight w:val="0"/>
      <w:marTop w:val="0"/>
      <w:marBottom w:val="0"/>
      <w:divBdr>
        <w:top w:val="none" w:sz="0" w:space="0" w:color="auto"/>
        <w:left w:val="none" w:sz="0" w:space="0" w:color="auto"/>
        <w:bottom w:val="none" w:sz="0" w:space="0" w:color="auto"/>
        <w:right w:val="none" w:sz="0" w:space="0" w:color="auto"/>
      </w:divBdr>
      <w:divsChild>
        <w:div w:id="992492410">
          <w:marLeft w:val="0"/>
          <w:marRight w:val="0"/>
          <w:marTop w:val="0"/>
          <w:marBottom w:val="0"/>
          <w:divBdr>
            <w:top w:val="none" w:sz="0" w:space="0" w:color="auto"/>
            <w:left w:val="none" w:sz="0" w:space="0" w:color="auto"/>
            <w:bottom w:val="none" w:sz="0" w:space="0" w:color="auto"/>
            <w:right w:val="none" w:sz="0" w:space="0" w:color="auto"/>
          </w:divBdr>
          <w:divsChild>
            <w:div w:id="690183913">
              <w:marLeft w:val="0"/>
              <w:marRight w:val="0"/>
              <w:marTop w:val="0"/>
              <w:marBottom w:val="0"/>
              <w:divBdr>
                <w:top w:val="none" w:sz="0" w:space="0" w:color="auto"/>
                <w:left w:val="none" w:sz="0" w:space="0" w:color="auto"/>
                <w:bottom w:val="none" w:sz="0" w:space="0" w:color="auto"/>
                <w:right w:val="none" w:sz="0" w:space="0" w:color="auto"/>
              </w:divBdr>
              <w:divsChild>
                <w:div w:id="566956354">
                  <w:marLeft w:val="0"/>
                  <w:marRight w:val="0"/>
                  <w:marTop w:val="750"/>
                  <w:marBottom w:val="0"/>
                  <w:divBdr>
                    <w:top w:val="none" w:sz="0" w:space="0" w:color="auto"/>
                    <w:left w:val="none" w:sz="0" w:space="0" w:color="auto"/>
                    <w:bottom w:val="none" w:sz="0" w:space="0" w:color="auto"/>
                    <w:right w:val="none" w:sz="0" w:space="0" w:color="auto"/>
                  </w:divBdr>
                  <w:divsChild>
                    <w:div w:id="2106218870">
                      <w:marLeft w:val="0"/>
                      <w:marRight w:val="0"/>
                      <w:marTop w:val="0"/>
                      <w:marBottom w:val="0"/>
                      <w:divBdr>
                        <w:top w:val="none" w:sz="0" w:space="0" w:color="auto"/>
                        <w:left w:val="none" w:sz="0" w:space="0" w:color="auto"/>
                        <w:bottom w:val="none" w:sz="0" w:space="0" w:color="auto"/>
                        <w:right w:val="none" w:sz="0" w:space="0" w:color="auto"/>
                      </w:divBdr>
                      <w:divsChild>
                        <w:div w:id="1542473883">
                          <w:marLeft w:val="0"/>
                          <w:marRight w:val="0"/>
                          <w:marTop w:val="0"/>
                          <w:marBottom w:val="0"/>
                          <w:divBdr>
                            <w:top w:val="none" w:sz="0" w:space="0" w:color="auto"/>
                            <w:left w:val="none" w:sz="0" w:space="0" w:color="auto"/>
                            <w:bottom w:val="none" w:sz="0" w:space="0" w:color="auto"/>
                            <w:right w:val="none" w:sz="0" w:space="0" w:color="auto"/>
                          </w:divBdr>
                          <w:divsChild>
                            <w:div w:id="328409907">
                              <w:marLeft w:val="0"/>
                              <w:marRight w:val="0"/>
                              <w:marTop w:val="0"/>
                              <w:marBottom w:val="0"/>
                              <w:divBdr>
                                <w:top w:val="none" w:sz="0" w:space="0" w:color="auto"/>
                                <w:left w:val="none" w:sz="0" w:space="0" w:color="auto"/>
                                <w:bottom w:val="none" w:sz="0" w:space="0" w:color="auto"/>
                                <w:right w:val="none" w:sz="0" w:space="0" w:color="auto"/>
                              </w:divBdr>
                              <w:divsChild>
                                <w:div w:id="2868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37974">
      <w:bodyDiv w:val="1"/>
      <w:marLeft w:val="0"/>
      <w:marRight w:val="0"/>
      <w:marTop w:val="0"/>
      <w:marBottom w:val="0"/>
      <w:divBdr>
        <w:top w:val="none" w:sz="0" w:space="0" w:color="auto"/>
        <w:left w:val="none" w:sz="0" w:space="0" w:color="auto"/>
        <w:bottom w:val="none" w:sz="0" w:space="0" w:color="auto"/>
        <w:right w:val="none" w:sz="0" w:space="0" w:color="auto"/>
      </w:divBdr>
    </w:div>
    <w:div w:id="1428381943">
      <w:bodyDiv w:val="1"/>
      <w:marLeft w:val="0"/>
      <w:marRight w:val="0"/>
      <w:marTop w:val="0"/>
      <w:marBottom w:val="0"/>
      <w:divBdr>
        <w:top w:val="none" w:sz="0" w:space="0" w:color="auto"/>
        <w:left w:val="none" w:sz="0" w:space="0" w:color="auto"/>
        <w:bottom w:val="none" w:sz="0" w:space="0" w:color="auto"/>
        <w:right w:val="none" w:sz="0" w:space="0" w:color="auto"/>
      </w:divBdr>
    </w:div>
    <w:div w:id="1940795880">
      <w:bodyDiv w:val="1"/>
      <w:marLeft w:val="0"/>
      <w:marRight w:val="0"/>
      <w:marTop w:val="0"/>
      <w:marBottom w:val="0"/>
      <w:divBdr>
        <w:top w:val="none" w:sz="0" w:space="0" w:color="auto"/>
        <w:left w:val="none" w:sz="0" w:space="0" w:color="auto"/>
        <w:bottom w:val="none" w:sz="0" w:space="0" w:color="auto"/>
        <w:right w:val="none" w:sz="0" w:space="0" w:color="auto"/>
      </w:divBdr>
    </w:div>
    <w:div w:id="1975090825">
      <w:bodyDiv w:val="1"/>
      <w:marLeft w:val="0"/>
      <w:marRight w:val="0"/>
      <w:marTop w:val="0"/>
      <w:marBottom w:val="0"/>
      <w:divBdr>
        <w:top w:val="none" w:sz="0" w:space="0" w:color="auto"/>
        <w:left w:val="none" w:sz="0" w:space="0" w:color="auto"/>
        <w:bottom w:val="none" w:sz="0" w:space="0" w:color="auto"/>
        <w:right w:val="none" w:sz="0" w:space="0" w:color="auto"/>
      </w:divBdr>
      <w:divsChild>
        <w:div w:id="823931994">
          <w:marLeft w:val="0"/>
          <w:marRight w:val="0"/>
          <w:marTop w:val="0"/>
          <w:marBottom w:val="0"/>
          <w:divBdr>
            <w:top w:val="none" w:sz="0" w:space="0" w:color="auto"/>
            <w:left w:val="none" w:sz="0" w:space="0" w:color="auto"/>
            <w:bottom w:val="none" w:sz="0" w:space="0" w:color="auto"/>
            <w:right w:val="none" w:sz="0" w:space="0" w:color="auto"/>
          </w:divBdr>
          <w:divsChild>
            <w:div w:id="1668287553">
              <w:marLeft w:val="0"/>
              <w:marRight w:val="0"/>
              <w:marTop w:val="0"/>
              <w:marBottom w:val="0"/>
              <w:divBdr>
                <w:top w:val="none" w:sz="0" w:space="0" w:color="auto"/>
                <w:left w:val="none" w:sz="0" w:space="0" w:color="auto"/>
                <w:bottom w:val="none" w:sz="0" w:space="0" w:color="auto"/>
                <w:right w:val="none" w:sz="0" w:space="0" w:color="auto"/>
              </w:divBdr>
              <w:divsChild>
                <w:div w:id="2040079121">
                  <w:marLeft w:val="0"/>
                  <w:marRight w:val="0"/>
                  <w:marTop w:val="750"/>
                  <w:marBottom w:val="0"/>
                  <w:divBdr>
                    <w:top w:val="none" w:sz="0" w:space="0" w:color="auto"/>
                    <w:left w:val="none" w:sz="0" w:space="0" w:color="auto"/>
                    <w:bottom w:val="none" w:sz="0" w:space="0" w:color="auto"/>
                    <w:right w:val="none" w:sz="0" w:space="0" w:color="auto"/>
                  </w:divBdr>
                  <w:divsChild>
                    <w:div w:id="1132334297">
                      <w:marLeft w:val="0"/>
                      <w:marRight w:val="0"/>
                      <w:marTop w:val="0"/>
                      <w:marBottom w:val="0"/>
                      <w:divBdr>
                        <w:top w:val="none" w:sz="0" w:space="0" w:color="auto"/>
                        <w:left w:val="none" w:sz="0" w:space="0" w:color="auto"/>
                        <w:bottom w:val="none" w:sz="0" w:space="0" w:color="auto"/>
                        <w:right w:val="none" w:sz="0" w:space="0" w:color="auto"/>
                      </w:divBdr>
                      <w:divsChild>
                        <w:div w:id="759956101">
                          <w:marLeft w:val="0"/>
                          <w:marRight w:val="0"/>
                          <w:marTop w:val="0"/>
                          <w:marBottom w:val="0"/>
                          <w:divBdr>
                            <w:top w:val="none" w:sz="0" w:space="0" w:color="auto"/>
                            <w:left w:val="none" w:sz="0" w:space="0" w:color="auto"/>
                            <w:bottom w:val="none" w:sz="0" w:space="0" w:color="auto"/>
                            <w:right w:val="none" w:sz="0" w:space="0" w:color="auto"/>
                          </w:divBdr>
                          <w:divsChild>
                            <w:div w:id="282613874">
                              <w:marLeft w:val="0"/>
                              <w:marRight w:val="0"/>
                              <w:marTop w:val="0"/>
                              <w:marBottom w:val="0"/>
                              <w:divBdr>
                                <w:top w:val="none" w:sz="0" w:space="0" w:color="auto"/>
                                <w:left w:val="none" w:sz="0" w:space="0" w:color="auto"/>
                                <w:bottom w:val="none" w:sz="0" w:space="0" w:color="auto"/>
                                <w:right w:val="none" w:sz="0" w:space="0" w:color="auto"/>
                              </w:divBdr>
                              <w:divsChild>
                                <w:div w:id="10183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s.deakin@localpensionspartnersh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Loretto Leavy</dc:creator>
  <cp:lastModifiedBy>Gorman, Dave</cp:lastModifiedBy>
  <cp:revision>4</cp:revision>
  <dcterms:created xsi:type="dcterms:W3CDTF">2016-05-27T08:30:00Z</dcterms:created>
  <dcterms:modified xsi:type="dcterms:W3CDTF">2016-05-27T08:43:00Z</dcterms:modified>
</cp:coreProperties>
</file>